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130AED">
      <w:pPr>
        <w:spacing w:before="120" w:beforeLines="50" w:after="120" w:afterLines="50" w:line="360" w:lineRule="auto"/>
        <w:jc w:val="center"/>
        <w:rPr>
          <w:rFonts w:asciiTheme="majorEastAsia" w:hAnsiTheme="majorEastAsia" w:eastAsiaTheme="majorEastAsia" w:cstheme="majorEastAsia"/>
          <w:color w:val="auto"/>
          <w:spacing w:val="20"/>
          <w:sz w:val="44"/>
          <w:szCs w:val="44"/>
          <w:highlight w:val="none"/>
        </w:rPr>
      </w:pPr>
    </w:p>
    <w:p w14:paraId="5EF872B7">
      <w:pPr>
        <w:spacing w:before="120" w:beforeLines="50" w:after="120" w:afterLines="50" w:line="360" w:lineRule="auto"/>
        <w:jc w:val="center"/>
        <w:rPr>
          <w:rFonts w:ascii="宋体" w:hAnsi="宋体" w:cs="宋体"/>
          <w:spacing w:val="20"/>
          <w:sz w:val="44"/>
          <w:szCs w:val="44"/>
        </w:rPr>
      </w:pPr>
      <w:r>
        <w:rPr>
          <w:rFonts w:hint="eastAsia" w:ascii="宋体" w:hAnsi="宋体" w:cs="宋体"/>
          <w:spacing w:val="20"/>
          <w:sz w:val="44"/>
          <w:szCs w:val="44"/>
        </w:rPr>
        <w:t>罗甸县产业大脑平台项目</w:t>
      </w:r>
    </w:p>
    <w:p w14:paraId="7C55B855">
      <w:pPr>
        <w:spacing w:before="120" w:beforeLines="50" w:after="120" w:afterLines="50" w:line="360" w:lineRule="auto"/>
        <w:jc w:val="center"/>
        <w:rPr>
          <w:rFonts w:ascii="宋体" w:hAnsi="宋体" w:cs="宋体"/>
          <w:spacing w:val="20"/>
          <w:sz w:val="44"/>
          <w:szCs w:val="44"/>
        </w:rPr>
      </w:pPr>
    </w:p>
    <w:p w14:paraId="7F8D9D9F">
      <w:pPr>
        <w:spacing w:before="120" w:beforeLines="50" w:after="120" w:afterLines="50" w:line="360" w:lineRule="auto"/>
        <w:jc w:val="center"/>
        <w:rPr>
          <w:rFonts w:ascii="宋体" w:hAnsi="宋体" w:cs="宋体"/>
          <w:spacing w:val="20"/>
          <w:sz w:val="44"/>
          <w:szCs w:val="44"/>
        </w:rPr>
      </w:pPr>
    </w:p>
    <w:p w14:paraId="76E4C9A1">
      <w:pPr>
        <w:spacing w:before="120" w:beforeLines="50" w:after="120" w:afterLines="50" w:line="360" w:lineRule="auto"/>
        <w:jc w:val="center"/>
        <w:rPr>
          <w:rFonts w:ascii="宋体" w:hAnsi="宋体" w:cs="宋体"/>
          <w:spacing w:val="20"/>
          <w:sz w:val="44"/>
          <w:szCs w:val="44"/>
        </w:rPr>
      </w:pPr>
    </w:p>
    <w:p w14:paraId="421822D8">
      <w:pPr>
        <w:spacing w:before="120" w:beforeLines="50" w:after="120" w:afterLines="50" w:line="360" w:lineRule="auto"/>
        <w:jc w:val="center"/>
      </w:pPr>
      <w:r>
        <w:rPr>
          <w:rFonts w:hint="eastAsia" w:ascii="宋体" w:hAnsi="宋体" w:cs="宋体"/>
          <w:spacing w:val="20"/>
          <w:sz w:val="44"/>
          <w:szCs w:val="44"/>
        </w:rPr>
        <w:t>采购文件</w:t>
      </w:r>
    </w:p>
    <w:p w14:paraId="32FD8DF7">
      <w:pPr>
        <w:spacing w:before="120" w:beforeLines="50" w:after="120" w:afterLines="50" w:line="360" w:lineRule="auto"/>
        <w:jc w:val="center"/>
        <w:rPr>
          <w:rFonts w:ascii="宋体" w:hAnsi="宋体" w:cs="宋体"/>
          <w:spacing w:val="20"/>
          <w:sz w:val="44"/>
          <w:szCs w:val="44"/>
          <w:u w:val="single"/>
        </w:rPr>
      </w:pPr>
      <w:r>
        <w:rPr>
          <w:rFonts w:hint="eastAsia" w:ascii="宋体" w:hAnsi="宋体" w:cs="宋体"/>
          <w:spacing w:val="20"/>
          <w:sz w:val="36"/>
          <w:szCs w:val="36"/>
        </w:rPr>
        <w:t>项目编号：YSBR2025-0</w:t>
      </w:r>
      <w:r>
        <w:rPr>
          <w:rFonts w:hint="eastAsia" w:ascii="宋体" w:hAnsi="宋体" w:cs="宋体"/>
          <w:spacing w:val="20"/>
          <w:sz w:val="36"/>
          <w:szCs w:val="36"/>
          <w:lang w:val="en-US" w:eastAsia="zh-CN"/>
        </w:rPr>
        <w:t>7</w:t>
      </w:r>
      <w:r>
        <w:rPr>
          <w:rFonts w:hint="eastAsia" w:ascii="宋体" w:hAnsi="宋体" w:cs="宋体"/>
          <w:spacing w:val="20"/>
          <w:sz w:val="36"/>
          <w:szCs w:val="36"/>
        </w:rPr>
        <w:t xml:space="preserve">总第05号  </w:t>
      </w:r>
    </w:p>
    <w:p w14:paraId="443BF9DF">
      <w:pPr>
        <w:pStyle w:val="8"/>
        <w:spacing w:line="360" w:lineRule="auto"/>
      </w:pPr>
    </w:p>
    <w:p w14:paraId="4BEDC23E">
      <w:pPr>
        <w:pStyle w:val="8"/>
        <w:spacing w:line="360" w:lineRule="auto"/>
      </w:pPr>
    </w:p>
    <w:p w14:paraId="7B41A361">
      <w:pPr>
        <w:pStyle w:val="8"/>
        <w:spacing w:line="360" w:lineRule="auto"/>
      </w:pPr>
    </w:p>
    <w:p w14:paraId="2025BECB">
      <w:pPr>
        <w:pStyle w:val="8"/>
        <w:spacing w:line="360" w:lineRule="auto"/>
      </w:pPr>
    </w:p>
    <w:p w14:paraId="631543A4">
      <w:pPr>
        <w:pStyle w:val="8"/>
        <w:spacing w:line="360" w:lineRule="auto"/>
      </w:pPr>
    </w:p>
    <w:p w14:paraId="41D0D8DF">
      <w:pPr>
        <w:pStyle w:val="8"/>
        <w:spacing w:line="360" w:lineRule="auto"/>
      </w:pPr>
    </w:p>
    <w:p w14:paraId="041CCB3E">
      <w:pPr>
        <w:widowControl/>
        <w:spacing w:line="360" w:lineRule="auto"/>
        <w:jc w:val="left"/>
        <w:rPr>
          <w:rFonts w:ascii="宋体" w:hAnsi="宋体" w:cs="宋体"/>
          <w:bCs/>
          <w:sz w:val="40"/>
          <w:szCs w:val="40"/>
        </w:rPr>
      </w:pPr>
    </w:p>
    <w:p w14:paraId="5FADB009">
      <w:pPr>
        <w:widowControl/>
        <w:spacing w:line="360" w:lineRule="auto"/>
        <w:ind w:firstLine="1280" w:firstLineChars="400"/>
        <w:jc w:val="left"/>
        <w:rPr>
          <w:rFonts w:ascii="宋体" w:hAnsi="宋体" w:cs="宋体"/>
          <w:bCs/>
          <w:sz w:val="32"/>
          <w:szCs w:val="32"/>
        </w:rPr>
      </w:pPr>
      <w:r>
        <w:rPr>
          <w:rFonts w:hint="eastAsia" w:ascii="宋体" w:hAnsi="宋体" w:cs="宋体"/>
          <w:bCs/>
          <w:sz w:val="32"/>
          <w:szCs w:val="32"/>
        </w:rPr>
        <w:t>采购人：</w:t>
      </w:r>
      <w:r>
        <w:rPr>
          <w:rFonts w:hint="eastAsia" w:ascii="宋体" w:hAnsi="宋体" w:cs="宋体"/>
          <w:bCs/>
          <w:sz w:val="32"/>
          <w:szCs w:val="32"/>
          <w:u w:val="single"/>
        </w:rPr>
        <w:t xml:space="preserve"> 罗甸县工业园区管理委员会 </w:t>
      </w:r>
    </w:p>
    <w:p w14:paraId="2547310C">
      <w:pPr>
        <w:widowControl/>
        <w:spacing w:line="360" w:lineRule="auto"/>
        <w:ind w:firstLine="1280" w:firstLineChars="400"/>
        <w:jc w:val="left"/>
        <w:rPr>
          <w:rFonts w:ascii="宋体" w:hAnsi="宋体" w:cs="宋体"/>
          <w:bCs/>
          <w:sz w:val="32"/>
          <w:szCs w:val="32"/>
        </w:rPr>
      </w:pPr>
    </w:p>
    <w:p w14:paraId="373162CA">
      <w:pPr>
        <w:widowControl/>
        <w:spacing w:line="360" w:lineRule="auto"/>
        <w:ind w:firstLine="1280" w:firstLineChars="400"/>
        <w:jc w:val="left"/>
        <w:rPr>
          <w:rFonts w:ascii="宋体" w:hAnsi="宋体" w:cs="宋体"/>
          <w:bCs/>
          <w:sz w:val="32"/>
          <w:szCs w:val="32"/>
        </w:rPr>
      </w:pPr>
      <w:r>
        <w:rPr>
          <w:rFonts w:hint="eastAsia" w:ascii="宋体" w:hAnsi="宋体" w:cs="宋体"/>
          <w:bCs/>
          <w:sz w:val="32"/>
          <w:szCs w:val="32"/>
        </w:rPr>
        <w:t>代理机构：</w:t>
      </w:r>
      <w:r>
        <w:rPr>
          <w:rFonts w:hint="eastAsia" w:ascii="宋体" w:hAnsi="宋体" w:cs="宋体"/>
          <w:bCs/>
          <w:sz w:val="32"/>
          <w:szCs w:val="32"/>
          <w:u w:val="single"/>
        </w:rPr>
        <w:t>贵州远胜博瑞项目管理咨询有限公司</w:t>
      </w:r>
    </w:p>
    <w:p w14:paraId="7CA7B985">
      <w:pPr>
        <w:widowControl/>
        <w:spacing w:line="360" w:lineRule="auto"/>
        <w:ind w:firstLine="1280" w:firstLineChars="400"/>
        <w:jc w:val="left"/>
        <w:rPr>
          <w:rFonts w:ascii="宋体" w:hAnsi="宋体" w:cs="宋体"/>
          <w:bCs/>
          <w:sz w:val="32"/>
          <w:szCs w:val="32"/>
        </w:rPr>
      </w:pPr>
    </w:p>
    <w:p w14:paraId="4C8E4B0C">
      <w:pPr>
        <w:widowControl/>
        <w:shd w:val="clear" w:color="auto" w:fill="FFFFFF"/>
        <w:spacing w:line="360" w:lineRule="auto"/>
        <w:ind w:firstLine="1280" w:firstLineChars="400"/>
        <w:rPr>
          <w:rFonts w:asciiTheme="majorEastAsia" w:hAnsiTheme="majorEastAsia" w:eastAsiaTheme="majorEastAsia" w:cstheme="majorEastAsia"/>
          <w:bCs/>
          <w:color w:val="auto"/>
          <w:sz w:val="32"/>
          <w:szCs w:val="32"/>
          <w:highlight w:val="none"/>
        </w:rPr>
        <w:sectPr>
          <w:footerReference r:id="rId3" w:type="default"/>
          <w:pgSz w:w="11905" w:h="16839"/>
          <w:pgMar w:top="820" w:right="1785" w:bottom="1102" w:left="1785" w:header="0" w:footer="938" w:gutter="0"/>
          <w:cols w:space="720" w:num="1"/>
        </w:sectPr>
      </w:pPr>
      <w:r>
        <w:rPr>
          <w:rFonts w:hint="eastAsia" w:ascii="宋体" w:hAnsi="宋体" w:cs="宋体"/>
          <w:bCs/>
          <w:sz w:val="32"/>
          <w:szCs w:val="32"/>
        </w:rPr>
        <w:t>日期：2025年0</w:t>
      </w:r>
      <w:r>
        <w:rPr>
          <w:rFonts w:hint="eastAsia" w:ascii="宋体" w:hAnsi="宋体" w:cs="宋体"/>
          <w:bCs/>
          <w:sz w:val="32"/>
          <w:szCs w:val="32"/>
          <w:lang w:val="en-US" w:eastAsia="zh-CN"/>
        </w:rPr>
        <w:t>7</w:t>
      </w:r>
      <w:r>
        <w:rPr>
          <w:rFonts w:hint="eastAsia" w:ascii="宋体" w:hAnsi="宋体" w:cs="宋体"/>
          <w:bCs/>
          <w:sz w:val="32"/>
          <w:szCs w:val="32"/>
        </w:rPr>
        <w:t>月</w:t>
      </w:r>
      <w:r>
        <w:rPr>
          <w:rFonts w:hint="eastAsia" w:ascii="宋体" w:hAnsi="宋体" w:cs="宋体"/>
          <w:bCs/>
          <w:sz w:val="32"/>
          <w:szCs w:val="32"/>
          <w:lang w:val="en-US" w:eastAsia="zh-CN"/>
        </w:rPr>
        <w:t>23</w:t>
      </w:r>
      <w:r>
        <w:rPr>
          <w:rFonts w:hint="eastAsia" w:ascii="宋体" w:hAnsi="宋体" w:cs="宋体"/>
          <w:bCs/>
          <w:sz w:val="32"/>
          <w:szCs w:val="32"/>
        </w:rPr>
        <w:t>日</w:t>
      </w:r>
    </w:p>
    <w:p w14:paraId="10E4B758">
      <w:pPr>
        <w:widowControl/>
        <w:spacing w:line="360" w:lineRule="auto"/>
        <w:jc w:val="left"/>
        <w:rPr>
          <w:rFonts w:ascii="华文仿宋" w:hAnsi="华文仿宋" w:eastAsia="华文仿宋" w:cs="华文仿宋"/>
          <w:sz w:val="22"/>
          <w:szCs w:val="28"/>
        </w:rPr>
      </w:pPr>
      <w:r>
        <w:rPr>
          <w:rFonts w:hint="eastAsia" w:ascii="华文仿宋" w:hAnsi="华文仿宋" w:eastAsia="华文仿宋" w:cs="华文仿宋"/>
          <w:b/>
          <w:bCs/>
          <w:color w:val="000000"/>
          <w:kern w:val="0"/>
          <w:sz w:val="28"/>
          <w:szCs w:val="28"/>
          <w:lang w:bidi="ar"/>
        </w:rPr>
        <w:t xml:space="preserve">本项目采用电子招投标，电子投标文件的制作、上传及开评标相关约定如下： </w:t>
      </w:r>
    </w:p>
    <w:p w14:paraId="315A6244">
      <w:pPr>
        <w:widowControl/>
        <w:spacing w:line="360" w:lineRule="auto"/>
        <w:jc w:val="left"/>
        <w:rPr>
          <w:rFonts w:ascii="华文仿宋" w:hAnsi="华文仿宋" w:eastAsia="华文仿宋" w:cs="华文仿宋"/>
          <w:sz w:val="22"/>
          <w:szCs w:val="28"/>
        </w:rPr>
      </w:pPr>
      <w:r>
        <w:rPr>
          <w:rFonts w:hint="eastAsia" w:ascii="华文仿宋" w:hAnsi="华文仿宋" w:eastAsia="华文仿宋" w:cs="华文仿宋"/>
          <w:color w:val="000000"/>
          <w:kern w:val="0"/>
          <w:sz w:val="28"/>
          <w:szCs w:val="28"/>
          <w:lang w:bidi="ar"/>
        </w:rPr>
        <w:t xml:space="preserve">（1）提交加密的电子投标文件一份（.QNTF 格式，由投标人在投标文件递交截止时间前上传至黔南州公共资源电子交易平台指定位置）。如未在投标文件递交截止时间前上传加密的电子投标文件的，视为未递交投标文件。 </w:t>
      </w:r>
    </w:p>
    <w:p w14:paraId="7378A67D">
      <w:pPr>
        <w:widowControl/>
        <w:spacing w:line="360" w:lineRule="auto"/>
        <w:jc w:val="left"/>
        <w:rPr>
          <w:rFonts w:ascii="华文仿宋" w:hAnsi="华文仿宋" w:eastAsia="华文仿宋" w:cs="华文仿宋"/>
          <w:sz w:val="22"/>
          <w:szCs w:val="28"/>
        </w:rPr>
      </w:pPr>
      <w:r>
        <w:rPr>
          <w:rFonts w:hint="eastAsia" w:ascii="华文仿宋" w:hAnsi="华文仿宋" w:eastAsia="华文仿宋" w:cs="华文仿宋"/>
          <w:color w:val="000000"/>
          <w:kern w:val="0"/>
          <w:sz w:val="28"/>
          <w:szCs w:val="28"/>
          <w:lang w:bidi="ar"/>
        </w:rPr>
        <w:t xml:space="preserve">（2）提交非加密的电子投标文件（.nQNTF 格式）U盘一份（此U盘模式仅限于投标人在黔南州公共资源电子交易平台已成功上传了加密的电子投标文件后，但在开标时其投标文件解密失败的情况下使用）。 </w:t>
      </w:r>
    </w:p>
    <w:p w14:paraId="7697F6CD">
      <w:pPr>
        <w:widowControl/>
        <w:spacing w:line="360" w:lineRule="auto"/>
        <w:jc w:val="left"/>
        <w:rPr>
          <w:rFonts w:ascii="华文仿宋" w:hAnsi="华文仿宋" w:eastAsia="华文仿宋" w:cs="华文仿宋"/>
          <w:sz w:val="22"/>
          <w:szCs w:val="28"/>
        </w:rPr>
      </w:pPr>
      <w:r>
        <w:rPr>
          <w:rFonts w:hint="eastAsia" w:ascii="华文仿宋" w:hAnsi="华文仿宋" w:eastAsia="华文仿宋" w:cs="华文仿宋"/>
          <w:color w:val="000000"/>
          <w:kern w:val="0"/>
          <w:sz w:val="28"/>
          <w:szCs w:val="28"/>
          <w:lang w:bidi="ar"/>
        </w:rPr>
        <w:t xml:space="preserve">（3）如果开标现场解密失败或未携带 CA 锁进行文件解密的，则采用U盘导入非加密的电子投标文件开评标，要求U盘中的非加密电子投标文件的内容、数据、 文件生成时间等与已上传的加密电子投标文件必须一致。U盘不能读取，或由于U盘中的非加密电子投标文件的内容、数据、文件生成时间等与已上传的加密电子投标文件不一致，导致投入失败，其投标将被否决。 </w:t>
      </w:r>
    </w:p>
    <w:p w14:paraId="3EE41E2B">
      <w:pPr>
        <w:widowControl/>
        <w:spacing w:line="360" w:lineRule="auto"/>
        <w:jc w:val="left"/>
        <w:rPr>
          <w:rFonts w:ascii="华文仿宋" w:hAnsi="华文仿宋" w:eastAsia="华文仿宋" w:cs="华文仿宋"/>
          <w:sz w:val="22"/>
          <w:szCs w:val="28"/>
        </w:rPr>
      </w:pPr>
      <w:r>
        <w:rPr>
          <w:rFonts w:hint="eastAsia" w:ascii="华文仿宋" w:hAnsi="华文仿宋" w:eastAsia="华文仿宋" w:cs="华文仿宋"/>
          <w:color w:val="000000"/>
          <w:kern w:val="0"/>
          <w:sz w:val="28"/>
          <w:szCs w:val="28"/>
          <w:lang w:bidi="ar"/>
        </w:rPr>
        <w:t xml:space="preserve">（4）评标办法文本与系统评标办法设置应当一致。 </w:t>
      </w:r>
    </w:p>
    <w:p w14:paraId="50662FA9">
      <w:pPr>
        <w:widowControl/>
        <w:spacing w:line="360" w:lineRule="auto"/>
        <w:jc w:val="left"/>
        <w:rPr>
          <w:rFonts w:ascii="华文仿宋" w:hAnsi="华文仿宋" w:eastAsia="华文仿宋" w:cs="华文仿宋"/>
          <w:sz w:val="22"/>
          <w:szCs w:val="28"/>
        </w:rPr>
      </w:pPr>
      <w:r>
        <w:rPr>
          <w:rFonts w:hint="eastAsia" w:ascii="华文仿宋" w:hAnsi="华文仿宋" w:eastAsia="华文仿宋" w:cs="华文仿宋"/>
          <w:color w:val="000000"/>
          <w:kern w:val="0"/>
          <w:sz w:val="28"/>
          <w:szCs w:val="28"/>
          <w:lang w:bidi="ar"/>
        </w:rPr>
        <w:t xml:space="preserve">（5）招标人（招标人）邀请所有投标人的法定代表人或其委托代理人参加开标会，请投标人注意携带生成投标文件的投标企业CA锁参加开标会。 </w:t>
      </w:r>
    </w:p>
    <w:p w14:paraId="7B3F50A4">
      <w:pPr>
        <w:widowControl/>
        <w:spacing w:line="360" w:lineRule="auto"/>
        <w:jc w:val="left"/>
        <w:rPr>
          <w:rFonts w:ascii="华文仿宋" w:hAnsi="华文仿宋" w:eastAsia="华文仿宋" w:cs="华文仿宋"/>
          <w:sz w:val="22"/>
          <w:szCs w:val="28"/>
        </w:rPr>
      </w:pPr>
      <w:r>
        <w:rPr>
          <w:rFonts w:hint="eastAsia" w:ascii="华文仿宋" w:hAnsi="华文仿宋" w:eastAsia="华文仿宋" w:cs="华文仿宋"/>
          <w:color w:val="000000"/>
          <w:kern w:val="0"/>
          <w:sz w:val="28"/>
          <w:szCs w:val="28"/>
          <w:lang w:bidi="ar"/>
        </w:rPr>
        <w:t xml:space="preserve">（6）本采购文件其他部分内容与本约定有冲突的，以本约定为准。 </w:t>
      </w:r>
    </w:p>
    <w:p w14:paraId="0BA7D796">
      <w:pPr>
        <w:widowControl/>
        <w:shd w:val="clear" w:color="auto" w:fill="FFFFFF"/>
        <w:spacing w:line="360" w:lineRule="auto"/>
        <w:jc w:val="center"/>
        <w:rPr>
          <w:rFonts w:hint="eastAsia" w:asciiTheme="majorEastAsia" w:hAnsiTheme="majorEastAsia" w:eastAsiaTheme="majorEastAsia" w:cstheme="majorEastAsia"/>
          <w:b/>
          <w:bCs/>
          <w:color w:val="auto"/>
          <w:kern w:val="0"/>
          <w:sz w:val="32"/>
          <w:szCs w:val="22"/>
          <w:highlight w:val="none"/>
        </w:rPr>
      </w:pPr>
      <w:r>
        <w:rPr>
          <w:rFonts w:hint="eastAsia" w:ascii="华文仿宋" w:hAnsi="华文仿宋" w:eastAsia="华文仿宋" w:cs="华文仿宋"/>
          <w:color w:val="000000"/>
          <w:kern w:val="0"/>
          <w:sz w:val="28"/>
          <w:szCs w:val="28"/>
          <w:lang w:bidi="ar"/>
        </w:rPr>
        <w:t>（7）本采购文件要求签字盖章的，投标人签署电子章（含电子签名）或在纸质书面上签字盖章后上传图片或照片的，均视为有效。</w:t>
      </w:r>
    </w:p>
    <w:p w14:paraId="142CB7A0">
      <w:pPr>
        <w:widowControl/>
        <w:shd w:val="clear" w:color="auto" w:fill="FFFFFF"/>
        <w:spacing w:line="360" w:lineRule="auto"/>
        <w:jc w:val="center"/>
        <w:rPr>
          <w:rFonts w:hint="eastAsia" w:asciiTheme="majorEastAsia" w:hAnsiTheme="majorEastAsia" w:eastAsiaTheme="majorEastAsia" w:cstheme="majorEastAsia"/>
          <w:b/>
          <w:bCs/>
          <w:color w:val="auto"/>
          <w:kern w:val="0"/>
          <w:sz w:val="32"/>
          <w:szCs w:val="22"/>
          <w:highlight w:val="none"/>
        </w:rPr>
      </w:pPr>
    </w:p>
    <w:p w14:paraId="19BE474D">
      <w:pPr>
        <w:pStyle w:val="3"/>
        <w:jc w:val="center"/>
      </w:pPr>
      <w:r>
        <w:rPr>
          <w:rFonts w:hint="eastAsia"/>
        </w:rPr>
        <w:t>第一章采购公告</w:t>
      </w:r>
    </w:p>
    <w:p w14:paraId="33C22765">
      <w:pPr>
        <w:pStyle w:val="18"/>
        <w:widowControl/>
        <w:shd w:val="clear" w:color="auto" w:fill="FFFFFF"/>
        <w:spacing w:before="0" w:beforeAutospacing="0" w:after="0" w:afterAutospacing="0" w:line="540" w:lineRule="atLeast"/>
        <w:ind w:firstLine="480"/>
        <w:jc w:val="left"/>
        <w:rPr>
          <w:rFonts w:ascii="宋体" w:hAnsi="宋体" w:cs="宋体"/>
          <w:shd w:val="clear" w:color="auto" w:fill="FFFFFF"/>
        </w:rPr>
      </w:pPr>
      <w:r>
        <w:rPr>
          <w:rFonts w:hint="eastAsia" w:ascii="宋体" w:hAnsi="宋体" w:cs="宋体"/>
          <w:shd w:val="clear" w:color="auto" w:fill="FFFFFF"/>
        </w:rPr>
        <w:t xml:space="preserve">项目概况 </w:t>
      </w:r>
    </w:p>
    <w:p w14:paraId="3A6E200A">
      <w:pPr>
        <w:pStyle w:val="18"/>
        <w:widowControl/>
        <w:shd w:val="clear" w:color="auto" w:fill="FFFFFF"/>
        <w:spacing w:before="0" w:beforeAutospacing="0" w:after="0" w:afterAutospacing="0" w:line="540" w:lineRule="atLeast"/>
        <w:ind w:firstLine="480"/>
        <w:jc w:val="left"/>
        <w:rPr>
          <w:rFonts w:ascii="宋体" w:hAnsi="宋体" w:cs="宋体"/>
          <w:shd w:val="clear" w:color="auto" w:fill="FFFFFF"/>
        </w:rPr>
      </w:pPr>
      <w:r>
        <w:rPr>
          <w:rFonts w:hint="eastAsia" w:ascii="宋体" w:hAnsi="宋体" w:cs="宋体"/>
          <w:b/>
          <w:bCs/>
          <w:u w:val="single"/>
          <w:shd w:val="clear" w:color="auto" w:fill="FFFFFF"/>
        </w:rPr>
        <w:t>罗甸县产业大脑平台项目</w:t>
      </w:r>
      <w:r>
        <w:rPr>
          <w:rFonts w:hint="eastAsia" w:ascii="宋体" w:hAnsi="宋体" w:cs="宋体"/>
          <w:shd w:val="clear" w:color="auto" w:fill="FFFFFF"/>
        </w:rPr>
        <w:t>的潜在供应商应在贵州省公共资源交易网上交易大厅（https://ggzy.guizhou.gov.cn/hallweb/#/login获取采购文件，并于 2025年 0</w:t>
      </w:r>
      <w:r>
        <w:rPr>
          <w:rFonts w:hint="eastAsia" w:ascii="宋体" w:hAnsi="宋体" w:cs="宋体"/>
          <w:shd w:val="clear" w:color="auto" w:fill="FFFFFF"/>
          <w:lang w:val="en-US" w:eastAsia="zh-CN"/>
        </w:rPr>
        <w:t>8</w:t>
      </w:r>
      <w:r>
        <w:rPr>
          <w:rFonts w:hint="eastAsia" w:ascii="宋体" w:hAnsi="宋体" w:cs="宋体"/>
          <w:shd w:val="clear" w:color="auto" w:fill="FFFFFF"/>
        </w:rPr>
        <w:t xml:space="preserve"> 月  日10 ：30 （北京时间）前递交响应文件。 </w:t>
      </w:r>
    </w:p>
    <w:p w14:paraId="2DCFEB03">
      <w:pPr>
        <w:pStyle w:val="18"/>
        <w:widowControl/>
        <w:shd w:val="clear" w:color="auto" w:fill="FFFFFF"/>
        <w:spacing w:before="0" w:beforeAutospacing="0" w:after="0" w:afterAutospacing="0" w:line="540" w:lineRule="atLeast"/>
        <w:ind w:firstLine="480"/>
        <w:jc w:val="left"/>
        <w:rPr>
          <w:rFonts w:ascii="宋体" w:hAnsi="宋体" w:cs="宋体"/>
          <w:shd w:val="clear" w:color="auto" w:fill="FFFFFF"/>
        </w:rPr>
      </w:pPr>
      <w:r>
        <w:rPr>
          <w:rFonts w:hint="eastAsia" w:ascii="宋体" w:hAnsi="宋体" w:cs="宋体"/>
          <w:shd w:val="clear" w:color="auto" w:fill="FFFFFF"/>
        </w:rPr>
        <w:t xml:space="preserve">一、项目基本情况 </w:t>
      </w:r>
    </w:p>
    <w:p w14:paraId="1C77A197">
      <w:pPr>
        <w:pStyle w:val="18"/>
        <w:widowControl/>
        <w:shd w:val="clear" w:color="auto" w:fill="FFFFFF"/>
        <w:spacing w:before="0" w:beforeAutospacing="0" w:after="0" w:afterAutospacing="0" w:line="540" w:lineRule="atLeast"/>
        <w:ind w:firstLine="480"/>
        <w:jc w:val="left"/>
        <w:rPr>
          <w:rFonts w:ascii="宋体" w:hAnsi="宋体" w:cs="宋体"/>
          <w:shd w:val="clear" w:color="auto" w:fill="FFFFFF"/>
        </w:rPr>
      </w:pPr>
      <w:r>
        <w:rPr>
          <w:rFonts w:hint="eastAsia" w:ascii="宋体" w:hAnsi="宋体" w:cs="宋体"/>
          <w:shd w:val="clear" w:color="auto" w:fill="FFFFFF"/>
        </w:rPr>
        <w:t xml:space="preserve">项目名称:罗甸县产业大脑平台项目  </w:t>
      </w:r>
    </w:p>
    <w:p w14:paraId="347EECFB">
      <w:pPr>
        <w:pStyle w:val="18"/>
        <w:widowControl/>
        <w:shd w:val="clear" w:color="auto" w:fill="FFFFFF"/>
        <w:spacing w:before="0" w:beforeAutospacing="0" w:after="0" w:afterAutospacing="0" w:line="540" w:lineRule="atLeast"/>
        <w:ind w:firstLine="480"/>
        <w:jc w:val="left"/>
        <w:rPr>
          <w:rFonts w:ascii="宋体" w:hAnsi="宋体" w:cs="宋体"/>
          <w:shd w:val="clear" w:color="auto" w:fill="FFFFFF"/>
        </w:rPr>
      </w:pPr>
      <w:r>
        <w:rPr>
          <w:rFonts w:hint="eastAsia" w:ascii="宋体" w:hAnsi="宋体" w:cs="宋体"/>
          <w:shd w:val="clear" w:color="auto" w:fill="FFFFFF"/>
        </w:rPr>
        <w:t>项目编号</w:t>
      </w:r>
      <w:r>
        <w:rPr>
          <w:rFonts w:ascii="宋体" w:hAnsi="宋体" w:cs="宋体"/>
          <w:shd w:val="clear" w:color="auto" w:fill="FFFFFF"/>
        </w:rPr>
        <w:t>:</w:t>
      </w:r>
      <w:r>
        <w:rPr>
          <w:rFonts w:hint="eastAsia" w:ascii="宋体" w:hAnsi="宋体" w:cs="宋体"/>
          <w:shd w:val="clear" w:color="auto" w:fill="FFFFFF"/>
        </w:rPr>
        <w:t xml:space="preserve">YSBR2025-07总第05号  </w:t>
      </w:r>
    </w:p>
    <w:p w14:paraId="04562BD5">
      <w:pPr>
        <w:pStyle w:val="18"/>
        <w:widowControl/>
        <w:shd w:val="clear" w:color="auto" w:fill="FFFFFF"/>
        <w:spacing w:before="0" w:beforeAutospacing="0" w:after="0" w:afterAutospacing="0" w:line="540" w:lineRule="atLeast"/>
        <w:ind w:firstLine="480"/>
        <w:jc w:val="left"/>
        <w:rPr>
          <w:rFonts w:ascii="宋体" w:hAnsi="宋体" w:cs="宋体"/>
          <w:shd w:val="clear" w:color="auto" w:fill="FFFFFF"/>
        </w:rPr>
      </w:pPr>
      <w:r>
        <w:rPr>
          <w:rFonts w:hint="eastAsia" w:ascii="宋体" w:hAnsi="宋体" w:cs="宋体"/>
          <w:shd w:val="clear" w:color="auto" w:fill="FFFFFF"/>
        </w:rPr>
        <w:t>项目序列号</w:t>
      </w:r>
      <w:r>
        <w:rPr>
          <w:rFonts w:ascii="宋体" w:hAnsi="宋体" w:cs="宋体"/>
          <w:shd w:val="clear" w:color="auto" w:fill="FFFFFF"/>
        </w:rPr>
        <w:t>:</w:t>
      </w:r>
      <w:r>
        <w:rPr>
          <w:rFonts w:hint="eastAsia" w:ascii="宋体" w:hAnsi="宋体" w:cs="宋体"/>
          <w:shd w:val="clear" w:color="auto" w:fill="FFFFFF"/>
        </w:rPr>
        <w:t xml:space="preserve">  </w:t>
      </w:r>
    </w:p>
    <w:p w14:paraId="78DC4B43">
      <w:pPr>
        <w:pStyle w:val="18"/>
        <w:widowControl/>
        <w:shd w:val="clear" w:color="auto" w:fill="FFFFFF"/>
        <w:spacing w:before="0" w:beforeAutospacing="0" w:after="0" w:afterAutospacing="0" w:line="540" w:lineRule="atLeast"/>
        <w:ind w:firstLine="480"/>
        <w:jc w:val="left"/>
        <w:rPr>
          <w:rFonts w:ascii="宋体" w:hAnsi="宋体" w:cs="宋体"/>
          <w:shd w:val="clear" w:color="auto" w:fill="FFFFFF"/>
        </w:rPr>
      </w:pPr>
      <w:r>
        <w:rPr>
          <w:rFonts w:hint="eastAsia" w:ascii="宋体" w:hAnsi="宋体" w:cs="宋体"/>
          <w:shd w:val="clear" w:color="auto" w:fill="FFFFFF"/>
        </w:rPr>
        <w:t>预算金额(元)</w:t>
      </w:r>
      <w:r>
        <w:rPr>
          <w:rFonts w:ascii="宋体" w:hAnsi="宋体" w:cs="宋体"/>
          <w:shd w:val="clear" w:color="auto" w:fill="FFFFFF"/>
        </w:rPr>
        <w:t>:</w:t>
      </w:r>
      <w:r>
        <w:rPr>
          <w:rFonts w:hint="eastAsia" w:ascii="宋体" w:hAnsi="宋体" w:cs="宋体"/>
          <w:shd w:val="clear" w:color="auto" w:fill="FFFFFF"/>
        </w:rPr>
        <w:t xml:space="preserve"> </w:t>
      </w:r>
      <w:r>
        <w:rPr>
          <w:rFonts w:hint="eastAsia" w:ascii="宋体" w:hAnsi="宋体" w:cs="宋体"/>
          <w:shd w:val="clear" w:color="auto" w:fill="FFFFFF"/>
          <w:lang w:val="en-US" w:eastAsia="zh-CN"/>
        </w:rPr>
        <w:t>2000000.00</w:t>
      </w:r>
      <w:r>
        <w:rPr>
          <w:rFonts w:hint="eastAsia" w:ascii="宋体" w:hAnsi="宋体" w:cs="宋体"/>
          <w:shd w:val="clear" w:color="auto" w:fill="FFFFFF"/>
        </w:rPr>
        <w:t>元</w:t>
      </w:r>
    </w:p>
    <w:p w14:paraId="36405515">
      <w:pPr>
        <w:pStyle w:val="18"/>
        <w:widowControl/>
        <w:shd w:val="clear" w:color="auto" w:fill="FFFFFF"/>
        <w:spacing w:before="0" w:beforeAutospacing="0" w:after="0" w:afterAutospacing="0" w:line="540" w:lineRule="atLeast"/>
        <w:ind w:firstLine="480"/>
        <w:jc w:val="left"/>
        <w:rPr>
          <w:rFonts w:ascii="宋体" w:hAnsi="宋体" w:cs="宋体"/>
          <w:shd w:val="clear" w:color="auto" w:fill="FFFFFF"/>
        </w:rPr>
      </w:pPr>
      <w:r>
        <w:rPr>
          <w:rFonts w:hint="eastAsia" w:ascii="宋体" w:hAnsi="宋体" w:cs="宋体"/>
          <w:shd w:val="clear" w:color="auto" w:fill="FFFFFF"/>
        </w:rPr>
        <w:t>最高限价(元)</w:t>
      </w:r>
      <w:r>
        <w:rPr>
          <w:rFonts w:ascii="宋体" w:hAnsi="宋体" w:cs="宋体"/>
          <w:shd w:val="clear" w:color="auto" w:fill="FFFFFF"/>
        </w:rPr>
        <w:t>:</w:t>
      </w:r>
      <w:r>
        <w:rPr>
          <w:rFonts w:hint="eastAsia" w:ascii="宋体" w:hAnsi="宋体" w:cs="宋体"/>
          <w:shd w:val="clear" w:color="auto" w:fill="FFFFFF"/>
        </w:rPr>
        <w:t xml:space="preserve"> </w:t>
      </w:r>
      <w:r>
        <w:rPr>
          <w:rFonts w:hint="eastAsia" w:ascii="宋体" w:hAnsi="宋体" w:cs="宋体"/>
          <w:shd w:val="clear" w:color="auto" w:fill="FFFFFF"/>
          <w:lang w:val="en-US" w:eastAsia="zh-CN"/>
        </w:rPr>
        <w:t>2000000.00</w:t>
      </w:r>
      <w:r>
        <w:rPr>
          <w:rFonts w:hint="eastAsia" w:ascii="宋体" w:hAnsi="宋体" w:cs="宋体"/>
          <w:shd w:val="clear" w:color="auto" w:fill="FFFFFF"/>
        </w:rPr>
        <w:t xml:space="preserve">元 </w:t>
      </w:r>
    </w:p>
    <w:p w14:paraId="5D0CD753">
      <w:pPr>
        <w:pStyle w:val="18"/>
        <w:widowControl/>
        <w:shd w:val="clear" w:color="auto" w:fill="FFFFFF"/>
        <w:spacing w:before="0" w:beforeAutospacing="0" w:after="0" w:afterAutospacing="0" w:line="540" w:lineRule="atLeast"/>
        <w:ind w:firstLine="480"/>
        <w:jc w:val="left"/>
        <w:rPr>
          <w:rFonts w:ascii="宋体" w:hAnsi="宋体" w:cs="宋体"/>
          <w:shd w:val="clear" w:color="auto" w:fill="FFFFFF"/>
        </w:rPr>
      </w:pPr>
      <w:r>
        <w:rPr>
          <w:rFonts w:hint="eastAsia" w:ascii="宋体" w:hAnsi="宋体" w:cs="宋体"/>
          <w:shd w:val="clear" w:color="auto" w:fill="FFFFFF"/>
        </w:rPr>
        <w:t xml:space="preserve">采购需求：  </w:t>
      </w:r>
    </w:p>
    <w:p w14:paraId="50AD7D0B">
      <w:pPr>
        <w:pStyle w:val="18"/>
        <w:widowControl/>
        <w:shd w:val="clear" w:color="auto" w:fill="FFFFFF"/>
        <w:spacing w:before="0" w:beforeAutospacing="0" w:after="0" w:afterAutospacing="0" w:line="540" w:lineRule="atLeast"/>
        <w:ind w:firstLine="480"/>
        <w:jc w:val="left"/>
        <w:rPr>
          <w:rFonts w:ascii="宋体" w:hAnsi="宋体" w:cs="宋体"/>
          <w:shd w:val="clear" w:color="auto" w:fill="FFFFFF"/>
        </w:rPr>
      </w:pPr>
      <w:r>
        <w:rPr>
          <w:rFonts w:hint="eastAsia" w:ascii="宋体" w:hAnsi="宋体" w:cs="宋体"/>
          <w:shd w:val="clear" w:color="auto" w:fill="FFFFFF"/>
        </w:rPr>
        <w:t xml:space="preserve">标项一： </w:t>
      </w:r>
    </w:p>
    <w:p w14:paraId="2AA2EC6F">
      <w:pPr>
        <w:pStyle w:val="18"/>
        <w:widowControl/>
        <w:shd w:val="clear" w:color="auto" w:fill="FFFFFF"/>
        <w:spacing w:before="0" w:beforeAutospacing="0" w:after="0" w:afterAutospacing="0" w:line="540" w:lineRule="atLeast"/>
        <w:ind w:firstLine="480"/>
        <w:jc w:val="left"/>
        <w:rPr>
          <w:rFonts w:ascii="宋体" w:hAnsi="宋体" w:cs="宋体"/>
          <w:shd w:val="clear" w:color="auto" w:fill="FFFFFF"/>
        </w:rPr>
      </w:pPr>
      <w:r>
        <w:rPr>
          <w:rFonts w:hint="eastAsia" w:ascii="宋体" w:hAnsi="宋体" w:cs="宋体"/>
          <w:shd w:val="clear" w:color="auto" w:fill="FFFFFF"/>
        </w:rPr>
        <w:t xml:space="preserve">标项名称：罗甸县产业大脑平台项目    </w:t>
      </w:r>
    </w:p>
    <w:p w14:paraId="47552535">
      <w:pPr>
        <w:pStyle w:val="18"/>
        <w:widowControl/>
        <w:shd w:val="clear" w:color="auto" w:fill="FFFFFF"/>
        <w:spacing w:before="0" w:beforeAutospacing="0" w:after="0" w:afterAutospacing="0" w:line="540" w:lineRule="atLeast"/>
        <w:ind w:firstLine="480"/>
        <w:jc w:val="left"/>
        <w:rPr>
          <w:rFonts w:ascii="宋体" w:hAnsi="宋体" w:cs="宋体"/>
          <w:shd w:val="clear" w:color="auto" w:fill="FFFFFF"/>
        </w:rPr>
      </w:pPr>
      <w:r>
        <w:rPr>
          <w:rFonts w:hint="eastAsia" w:ascii="宋体" w:hAnsi="宋体" w:cs="宋体"/>
          <w:shd w:val="clear" w:color="auto" w:fill="FFFFFF"/>
        </w:rPr>
        <w:t xml:space="preserve">数量：1 </w:t>
      </w:r>
    </w:p>
    <w:p w14:paraId="288135A7">
      <w:pPr>
        <w:pStyle w:val="18"/>
        <w:widowControl/>
        <w:shd w:val="clear" w:color="auto" w:fill="FFFFFF"/>
        <w:spacing w:before="0" w:beforeAutospacing="0" w:after="0" w:afterAutospacing="0" w:line="540" w:lineRule="atLeast"/>
        <w:ind w:firstLine="480"/>
        <w:jc w:val="left"/>
        <w:rPr>
          <w:rFonts w:ascii="宋体" w:hAnsi="宋体" w:cs="宋体"/>
          <w:shd w:val="clear" w:color="auto" w:fill="FFFFFF"/>
        </w:rPr>
      </w:pPr>
      <w:r>
        <w:rPr>
          <w:rFonts w:hint="eastAsia" w:ascii="宋体" w:hAnsi="宋体" w:cs="宋体"/>
          <w:shd w:val="clear" w:color="auto" w:fill="FFFFFF"/>
        </w:rPr>
        <w:t>预算金额（元）：</w:t>
      </w:r>
      <w:r>
        <w:rPr>
          <w:rFonts w:hint="eastAsia" w:ascii="宋体" w:hAnsi="宋体" w:cs="宋体"/>
          <w:shd w:val="clear" w:color="auto" w:fill="FFFFFF"/>
          <w:lang w:val="en-US" w:eastAsia="zh-CN"/>
        </w:rPr>
        <w:t>2000000.00</w:t>
      </w:r>
      <w:r>
        <w:rPr>
          <w:rFonts w:hint="eastAsia" w:ascii="宋体" w:hAnsi="宋体" w:cs="宋体"/>
          <w:shd w:val="clear" w:color="auto" w:fill="FFFFFF"/>
        </w:rPr>
        <w:t xml:space="preserve">元 </w:t>
      </w:r>
    </w:p>
    <w:p w14:paraId="7FF40182">
      <w:pPr>
        <w:pStyle w:val="18"/>
        <w:widowControl/>
        <w:shd w:val="clear" w:color="auto" w:fill="FFFFFF"/>
        <w:spacing w:before="0" w:beforeAutospacing="0" w:after="0" w:afterAutospacing="0" w:line="540" w:lineRule="atLeast"/>
        <w:ind w:firstLine="480"/>
        <w:jc w:val="left"/>
        <w:rPr>
          <w:rFonts w:ascii="宋体" w:hAnsi="宋体" w:cs="宋体"/>
          <w:shd w:val="clear" w:color="auto" w:fill="FFFFFF"/>
        </w:rPr>
      </w:pPr>
      <w:r>
        <w:rPr>
          <w:rFonts w:hint="eastAsia" w:ascii="宋体" w:hAnsi="宋体" w:cs="宋体"/>
          <w:shd w:val="clear" w:color="auto" w:fill="FFFFFF"/>
        </w:rPr>
        <w:t>简要规格描述或项目基本概况介绍、用途：详见采购文件</w:t>
      </w:r>
    </w:p>
    <w:p w14:paraId="4EEAE11F">
      <w:pPr>
        <w:pStyle w:val="18"/>
        <w:widowControl/>
        <w:shd w:val="clear" w:color="auto" w:fill="FFFFFF"/>
        <w:spacing w:before="0" w:beforeAutospacing="0" w:after="0" w:afterAutospacing="0" w:line="540" w:lineRule="atLeast"/>
        <w:ind w:firstLine="480"/>
        <w:jc w:val="left"/>
        <w:rPr>
          <w:rFonts w:ascii="宋体" w:hAnsi="宋体" w:cs="宋体"/>
          <w:shd w:val="clear" w:color="auto" w:fill="FFFFFF"/>
        </w:rPr>
      </w:pPr>
      <w:r>
        <w:rPr>
          <w:rFonts w:hint="eastAsia" w:ascii="宋体" w:hAnsi="宋体" w:cs="宋体"/>
          <w:shd w:val="clear" w:color="auto" w:fill="FFFFFF"/>
        </w:rPr>
        <w:t xml:space="preserve">备注： </w:t>
      </w:r>
    </w:p>
    <w:p w14:paraId="23CB36B5">
      <w:pPr>
        <w:pStyle w:val="18"/>
        <w:widowControl/>
        <w:shd w:val="clear" w:color="auto" w:fill="FFFFFF"/>
        <w:spacing w:before="0" w:beforeAutospacing="0" w:after="0" w:afterAutospacing="0" w:line="540" w:lineRule="atLeast"/>
        <w:ind w:firstLine="480"/>
        <w:jc w:val="left"/>
        <w:rPr>
          <w:rFonts w:ascii="宋体" w:hAnsi="宋体" w:cs="宋体"/>
          <w:shd w:val="clear" w:color="auto" w:fill="FFFFFF"/>
        </w:rPr>
      </w:pPr>
      <w:r>
        <w:rPr>
          <w:rFonts w:hint="eastAsia" w:ascii="宋体" w:hAnsi="宋体" w:cs="宋体"/>
          <w:shd w:val="clear" w:color="auto" w:fill="FFFFFF"/>
        </w:rPr>
        <w:t>合同履约期限：</w:t>
      </w:r>
      <w:r>
        <w:rPr>
          <w:rFonts w:hint="eastAsia" w:ascii="宋体" w:hAnsi="宋体" w:cs="宋体"/>
          <w:color w:val="000000" w:themeColor="text1"/>
          <w:u w:val="single"/>
          <w:shd w:val="clear" w:color="auto" w:fill="FFFFFF"/>
          <w:lang w:val="en-US" w:eastAsia="zh-CN"/>
          <w14:textFill>
            <w14:solidFill>
              <w14:schemeClr w14:val="tx1"/>
            </w14:solidFill>
          </w14:textFill>
        </w:rPr>
        <w:t>90</w:t>
      </w:r>
      <w:r>
        <w:rPr>
          <w:rFonts w:hint="eastAsia" w:ascii="宋体" w:hAnsi="宋体" w:cs="宋体"/>
          <w:color w:val="000000" w:themeColor="text1"/>
          <w:shd w:val="clear" w:color="auto" w:fill="FFFFFF"/>
          <w14:textFill>
            <w14:solidFill>
              <w14:schemeClr w14:val="tx1"/>
            </w14:solidFill>
          </w14:textFill>
        </w:rPr>
        <w:t>日历天。</w:t>
      </w:r>
      <w:r>
        <w:rPr>
          <w:rFonts w:hint="eastAsia" w:ascii="宋体" w:hAnsi="宋体" w:cs="宋体"/>
          <w:shd w:val="clear" w:color="auto" w:fill="FFFFFF"/>
        </w:rPr>
        <w:t xml:space="preserve"> </w:t>
      </w:r>
      <w:bookmarkStart w:id="2" w:name="_GoBack"/>
      <w:bookmarkEnd w:id="2"/>
    </w:p>
    <w:p w14:paraId="45FE8C6E">
      <w:pPr>
        <w:pStyle w:val="18"/>
        <w:widowControl/>
        <w:shd w:val="clear" w:color="auto" w:fill="FFFFFF"/>
        <w:spacing w:before="0" w:beforeAutospacing="0" w:after="0" w:afterAutospacing="0" w:line="540" w:lineRule="atLeast"/>
        <w:ind w:firstLine="480"/>
        <w:jc w:val="left"/>
        <w:rPr>
          <w:rFonts w:ascii="宋体" w:hAnsi="宋体" w:cs="宋体"/>
          <w:shd w:val="clear" w:color="auto" w:fill="FFFFFF"/>
        </w:rPr>
      </w:pPr>
      <w:r>
        <w:rPr>
          <w:rFonts w:hint="eastAsia" w:ascii="宋体" w:hAnsi="宋体" w:cs="宋体"/>
          <w:shd w:val="clear" w:color="auto" w:fill="FFFFFF"/>
        </w:rPr>
        <w:t>本项目（是/否）接受联合体投标</w:t>
      </w:r>
      <w:r>
        <w:rPr>
          <w:rFonts w:ascii="宋体" w:hAnsi="宋体" w:cs="宋体"/>
          <w:shd w:val="clear" w:color="auto" w:fill="FFFFFF"/>
        </w:rPr>
        <w:t>:</w:t>
      </w:r>
      <w:r>
        <w:rPr>
          <w:rFonts w:hint="eastAsia" w:ascii="宋体" w:hAnsi="宋体" w:cs="宋体"/>
          <w:shd w:val="clear" w:color="auto" w:fill="FFFFFF"/>
        </w:rPr>
        <w:t xml:space="preserve">否。 </w:t>
      </w:r>
    </w:p>
    <w:p w14:paraId="515E2729">
      <w:pPr>
        <w:pStyle w:val="18"/>
        <w:widowControl/>
        <w:shd w:val="clear" w:color="auto" w:fill="FFFFFF"/>
        <w:spacing w:before="0" w:beforeAutospacing="0" w:after="0" w:afterAutospacing="0" w:line="540" w:lineRule="atLeast"/>
        <w:ind w:firstLine="480"/>
        <w:jc w:val="left"/>
        <w:rPr>
          <w:rFonts w:ascii="宋体" w:hAnsi="宋体" w:cs="宋体"/>
          <w:shd w:val="clear" w:color="auto" w:fill="FFFFFF"/>
        </w:rPr>
      </w:pPr>
      <w:r>
        <w:rPr>
          <w:rFonts w:hint="eastAsia" w:ascii="宋体" w:hAnsi="宋体" w:cs="宋体"/>
          <w:shd w:val="clear" w:color="auto" w:fill="FFFFFF"/>
        </w:rPr>
        <w:t xml:space="preserve">二、申请人的资格要求 </w:t>
      </w:r>
    </w:p>
    <w:p w14:paraId="24112983">
      <w:pPr>
        <w:pStyle w:val="18"/>
        <w:widowControl/>
        <w:shd w:val="clear" w:color="auto" w:fill="FFFFFF"/>
        <w:spacing w:before="0" w:beforeAutospacing="0" w:after="0" w:afterAutospacing="0" w:line="540" w:lineRule="atLeast"/>
        <w:ind w:firstLine="480"/>
        <w:jc w:val="left"/>
        <w:rPr>
          <w:rFonts w:ascii="宋体" w:hAnsi="宋体" w:cs="宋体"/>
          <w:shd w:val="clear" w:color="auto" w:fill="FFFFFF"/>
        </w:rPr>
      </w:pPr>
      <w:r>
        <w:rPr>
          <w:rFonts w:hint="eastAsia" w:ascii="宋体" w:hAnsi="宋体" w:cs="宋体"/>
          <w:shd w:val="clear" w:color="auto" w:fill="FFFFFF"/>
        </w:rPr>
        <w:t xml:space="preserve">1.满足《中华人民共和国政府采购法》第二十二条规定； </w:t>
      </w:r>
    </w:p>
    <w:p w14:paraId="4172435B">
      <w:pPr>
        <w:pStyle w:val="18"/>
        <w:widowControl/>
        <w:shd w:val="clear" w:color="auto" w:fill="FFFFFF"/>
        <w:spacing w:before="0" w:beforeAutospacing="0" w:after="0" w:afterAutospacing="0" w:line="540" w:lineRule="atLeast"/>
        <w:ind w:firstLine="480"/>
        <w:jc w:val="left"/>
        <w:rPr>
          <w:rFonts w:ascii="宋体" w:hAnsi="宋体" w:cs="宋体"/>
          <w:shd w:val="clear" w:color="auto" w:fill="FFFFFF"/>
        </w:rPr>
      </w:pPr>
      <w:r>
        <w:rPr>
          <w:rFonts w:hint="eastAsia" w:ascii="宋体" w:hAnsi="宋体" w:cs="宋体"/>
          <w:shd w:val="clear" w:color="auto" w:fill="FFFFFF"/>
        </w:rPr>
        <w:t xml:space="preserve">2.落实政府采购政策需要满足的资格要求： </w:t>
      </w:r>
    </w:p>
    <w:p w14:paraId="578EDFCF">
      <w:pPr>
        <w:pStyle w:val="18"/>
        <w:widowControl/>
        <w:shd w:val="clear" w:color="auto" w:fill="FFFFFF"/>
        <w:spacing w:before="0" w:beforeAutospacing="0" w:after="0" w:afterAutospacing="0" w:line="540" w:lineRule="atLeast"/>
        <w:ind w:firstLine="480"/>
        <w:jc w:val="left"/>
        <w:rPr>
          <w:rFonts w:ascii="宋体" w:hAnsi="宋体" w:cs="宋体"/>
          <w:shd w:val="clear" w:color="auto" w:fill="FFFFFF"/>
        </w:rPr>
      </w:pPr>
      <w:r>
        <w:rPr>
          <w:rFonts w:hint="eastAsia" w:ascii="宋体" w:hAnsi="宋体" w:cs="宋体"/>
          <w:shd w:val="clear" w:color="auto" w:fill="FFFFFF"/>
        </w:rPr>
        <w:t>3.本项目的特定资格要求：无</w:t>
      </w:r>
    </w:p>
    <w:p w14:paraId="1BBF7F14">
      <w:pPr>
        <w:widowControl/>
        <w:kinsoku w:val="0"/>
        <w:autoSpaceDE w:val="0"/>
        <w:autoSpaceDN w:val="0"/>
        <w:adjustRightInd w:val="0"/>
        <w:snapToGrid w:val="0"/>
        <w:spacing w:line="360" w:lineRule="auto"/>
        <w:ind w:firstLine="476"/>
        <w:textAlignment w:val="baseline"/>
        <w:rPr>
          <w:rFonts w:ascii="宋体" w:hAnsi="宋体" w:cs="宋体"/>
          <w:color w:val="FF0000"/>
          <w:highlight w:val="yellow"/>
          <w:shd w:val="clear" w:color="auto" w:fill="FFFFFF"/>
        </w:rPr>
      </w:pPr>
      <w:r>
        <w:rPr>
          <w:rFonts w:hint="eastAsia" w:ascii="宋体" w:hAnsi="宋体" w:cs="宋体"/>
          <w:sz w:val="24"/>
          <w:shd w:val="clear" w:color="auto" w:fill="FFFFFF"/>
        </w:rPr>
        <w:t>4.申请人资格要求：1.具有独立承担民事责任的能力：提供有效的法人或者其他组织的营业执照等证明文件。2.具有良好的商业信誉和健全的财务会计制度：提供2024年度经会计师事务所出具的审计报告或基本开户银行出具的资信证明</w:t>
      </w:r>
      <w:r>
        <w:rPr>
          <w:rFonts w:hint="eastAsia" w:ascii="宋体" w:hAnsi="宋体" w:cs="宋体"/>
          <w:shd w:val="clear" w:color="auto" w:fill="FFFFFF"/>
        </w:rPr>
        <w:t>。</w:t>
      </w:r>
      <w:r>
        <w:rPr>
          <w:rFonts w:hint="eastAsia" w:ascii="宋体" w:hAnsi="宋体" w:cs="宋体"/>
          <w:sz w:val="24"/>
          <w:shd w:val="clear" w:color="auto" w:fill="FFFFFF"/>
        </w:rPr>
        <w:t xml:space="preserve">3.具有履行合同所必需的设备和专业技术能力：提供具有履行合同所必需的设备和专业技术能力承诺书。4. </w:t>
      </w:r>
      <w:r>
        <w:rPr>
          <w:rFonts w:hint="eastAsia" w:ascii="宋体" w:hAnsi="宋体" w:cs="宋体"/>
          <w:spacing w:val="-1"/>
          <w:sz w:val="24"/>
          <w:shd w:val="clear" w:color="auto" w:fill="FFFFFE"/>
        </w:rPr>
        <w:t>具有依法缴纳税收和社会保障资金的良好记录：</w:t>
      </w:r>
      <w:r>
        <w:rPr>
          <w:rFonts w:hint="eastAsia" w:ascii="宋体" w:hAnsi="宋体" w:cs="宋体"/>
          <w:sz w:val="24"/>
          <w:shd w:val="clear" w:color="auto" w:fill="FFFFFF"/>
        </w:rPr>
        <w:t>提供2025年任意1个月依法缴纳税收和社会保障资金的有效证明材料；5.参加本次政府采购活动前三年内，在经营活动中没有违法违规记录：提供参加政府采购活动前 3 年内在经营活动中没有重大违法记录的书面声明（格式文件详见投标文件范本）。6.法律、行政法规规定的其他条件：供应商信用信息：对</w:t>
      </w:r>
      <w:r>
        <w:rPr>
          <w:rFonts w:hint="eastAsia" w:ascii="Arial" w:hAnsi="Arial" w:cs="Arial"/>
          <w:kern w:val="0"/>
          <w:sz w:val="24"/>
          <w:szCs w:val="18"/>
        </w:rPr>
        <w:t>失信被执行人名单、重大税收违法失信主体、政府采购严重违法失信行为记录名单</w:t>
      </w:r>
      <w:r>
        <w:rPr>
          <w:rFonts w:hint="eastAsia" w:ascii="宋体" w:hAnsi="宋体" w:cs="宋体"/>
          <w:sz w:val="24"/>
          <w:shd w:val="clear" w:color="auto" w:fill="FFFFFF"/>
        </w:rPr>
        <w:t>且还在执行期的供应商，拒绝其参与政府采购活动。信用记录查询渠道为“信用中国”网站（www.creditchina.gov.cn）及中国政府采购网（www.ccgp.gov.cn），供应商需提供查询记录截图并加盖公章，作为信用信息查询记录和证据编入投标文件。</w:t>
      </w:r>
    </w:p>
    <w:p w14:paraId="1C7ADF56">
      <w:pPr>
        <w:pStyle w:val="18"/>
        <w:widowControl/>
        <w:shd w:val="clear" w:color="auto" w:fill="FFFFFF"/>
        <w:spacing w:before="0" w:beforeAutospacing="0" w:after="200" w:afterAutospacing="0" w:line="276" w:lineRule="atLeast"/>
        <w:jc w:val="left"/>
        <w:rPr>
          <w:rFonts w:ascii="微软雅黑" w:hAnsi="微软雅黑" w:cs="微软雅黑"/>
          <w:color w:val="000000"/>
        </w:rPr>
      </w:pPr>
      <w:r>
        <w:rPr>
          <w:rFonts w:hint="eastAsia" w:ascii="宋体" w:hAnsi="宋体" w:cs="宋体"/>
          <w:color w:val="000000"/>
          <w:shd w:val="clear" w:color="auto" w:fill="FFFFFF"/>
        </w:rPr>
        <w:t>三、获取采购文件</w:t>
      </w:r>
    </w:p>
    <w:p w14:paraId="30D69B25">
      <w:pPr>
        <w:widowControl/>
        <w:kinsoku w:val="0"/>
        <w:autoSpaceDE w:val="0"/>
        <w:autoSpaceDN w:val="0"/>
        <w:adjustRightInd w:val="0"/>
        <w:snapToGrid w:val="0"/>
        <w:spacing w:line="360" w:lineRule="auto"/>
        <w:ind w:firstLine="488" w:firstLineChars="200"/>
        <w:textAlignment w:val="baseline"/>
        <w:rPr>
          <w:rFonts w:ascii="宋体" w:hAnsi="宋体" w:cs="宋体"/>
          <w:sz w:val="24"/>
          <w:shd w:val="clear" w:color="auto" w:fill="FFFFFF"/>
        </w:rPr>
      </w:pPr>
      <w:r>
        <w:rPr>
          <w:rFonts w:hint="eastAsia" w:ascii="宋体" w:hAnsi="宋体" w:cs="宋体"/>
          <w:sz w:val="24"/>
          <w:shd w:val="clear" w:color="auto" w:fill="FFFFFF"/>
        </w:rPr>
        <w:t>时间：2025年07月  日 00时00分至2025年07月   日 23时59分</w:t>
      </w:r>
    </w:p>
    <w:p w14:paraId="340A970F">
      <w:pPr>
        <w:widowControl/>
        <w:kinsoku w:val="0"/>
        <w:autoSpaceDE w:val="0"/>
        <w:autoSpaceDN w:val="0"/>
        <w:adjustRightInd w:val="0"/>
        <w:snapToGrid w:val="0"/>
        <w:spacing w:line="360" w:lineRule="auto"/>
        <w:ind w:firstLine="488" w:firstLineChars="200"/>
        <w:textAlignment w:val="baseline"/>
        <w:rPr>
          <w:rFonts w:ascii="宋体" w:hAnsi="宋体" w:cs="宋体"/>
          <w:sz w:val="24"/>
          <w:shd w:val="clear" w:color="auto" w:fill="FFFFFF"/>
        </w:rPr>
      </w:pPr>
      <w:r>
        <w:rPr>
          <w:rFonts w:hint="eastAsia" w:ascii="宋体" w:hAnsi="宋体" w:cs="宋体"/>
          <w:sz w:val="24"/>
          <w:shd w:val="clear" w:color="auto" w:fill="FFFFFF"/>
        </w:rPr>
        <w:t>地点：贵州省公共资源交易网上交易大厅（https://ggzy.guizhou.gov.cn/hallweb/#/login</w:t>
      </w:r>
    </w:p>
    <w:p w14:paraId="1551F245">
      <w:pPr>
        <w:widowControl/>
        <w:kinsoku w:val="0"/>
        <w:autoSpaceDE w:val="0"/>
        <w:autoSpaceDN w:val="0"/>
        <w:adjustRightInd w:val="0"/>
        <w:snapToGrid w:val="0"/>
        <w:spacing w:line="360" w:lineRule="auto"/>
        <w:ind w:firstLine="488" w:firstLineChars="200"/>
        <w:textAlignment w:val="baseline"/>
        <w:rPr>
          <w:rFonts w:ascii="宋体" w:hAnsi="宋体" w:cs="宋体"/>
          <w:sz w:val="24"/>
          <w:shd w:val="clear" w:color="auto" w:fill="FFFFFF"/>
        </w:rPr>
      </w:pPr>
      <w:r>
        <w:rPr>
          <w:rFonts w:hint="eastAsia" w:ascii="宋体" w:hAnsi="宋体" w:cs="宋体"/>
          <w:sz w:val="24"/>
          <w:shd w:val="clear" w:color="auto" w:fill="FFFFFF"/>
        </w:rPr>
        <w:t>方式：贵州省公共资源交易网上交易大厅（https://ggzy.guizhou.gov.cn/hallweb/#/login下载</w:t>
      </w:r>
    </w:p>
    <w:p w14:paraId="03C7F00D">
      <w:pPr>
        <w:widowControl/>
        <w:kinsoku w:val="0"/>
        <w:autoSpaceDE w:val="0"/>
        <w:autoSpaceDN w:val="0"/>
        <w:adjustRightInd w:val="0"/>
        <w:snapToGrid w:val="0"/>
        <w:spacing w:line="360" w:lineRule="auto"/>
        <w:ind w:firstLine="488" w:firstLineChars="200"/>
        <w:textAlignment w:val="baseline"/>
        <w:rPr>
          <w:rFonts w:ascii="宋体" w:hAnsi="宋体" w:cs="宋体"/>
          <w:sz w:val="24"/>
          <w:shd w:val="clear" w:color="auto" w:fill="FFFFFF"/>
        </w:rPr>
      </w:pPr>
      <w:r>
        <w:rPr>
          <w:rFonts w:hint="eastAsia" w:ascii="宋体" w:hAnsi="宋体" w:cs="宋体"/>
          <w:sz w:val="24"/>
          <w:shd w:val="clear" w:color="auto" w:fill="FFFFFF"/>
        </w:rPr>
        <w:t>售价：0元人民币（含电子文档）</w:t>
      </w:r>
    </w:p>
    <w:p w14:paraId="2850D1EE">
      <w:pPr>
        <w:pStyle w:val="18"/>
        <w:widowControl/>
        <w:shd w:val="clear" w:color="auto" w:fill="FFFFFF"/>
        <w:spacing w:before="0" w:beforeAutospacing="0" w:after="200" w:afterAutospacing="0" w:line="276" w:lineRule="atLeast"/>
        <w:jc w:val="left"/>
        <w:rPr>
          <w:rFonts w:ascii="微软雅黑" w:hAnsi="微软雅黑" w:eastAsia="微软雅黑" w:cs="微软雅黑"/>
          <w:color w:val="000000"/>
        </w:rPr>
      </w:pPr>
      <w:r>
        <w:rPr>
          <w:rFonts w:hint="eastAsia" w:ascii="宋体" w:hAnsi="宋体" w:cs="宋体"/>
          <w:color w:val="000000"/>
          <w:shd w:val="clear" w:color="auto" w:fill="FFFFFF"/>
        </w:rPr>
        <w:t>四、提交投标文件截止时间、开标时间和地点</w:t>
      </w:r>
    </w:p>
    <w:p w14:paraId="3F925B92">
      <w:pPr>
        <w:pStyle w:val="18"/>
        <w:widowControl/>
        <w:shd w:val="clear" w:color="auto" w:fill="FFFFFF"/>
        <w:spacing w:beforeAutospacing="0" w:after="150" w:afterAutospacing="0" w:line="420" w:lineRule="atLeast"/>
        <w:ind w:left="720"/>
        <w:jc w:val="left"/>
        <w:rPr>
          <w:rFonts w:ascii="微软雅黑" w:hAnsi="微软雅黑" w:eastAsia="微软雅黑" w:cs="微软雅黑"/>
          <w:color w:val="000000"/>
        </w:rPr>
      </w:pPr>
      <w:r>
        <w:rPr>
          <w:rFonts w:hint="eastAsia" w:ascii="宋体" w:hAnsi="宋体" w:cs="宋体"/>
          <w:color w:val="000000"/>
          <w:shd w:val="clear" w:color="auto" w:fill="FFFFFF"/>
        </w:rPr>
        <w:t>投标文件递交截止时间：</w:t>
      </w:r>
      <w:r>
        <w:rPr>
          <w:rFonts w:hint="eastAsia" w:ascii="宋体" w:hAnsi="宋体" w:cs="宋体"/>
          <w:color w:val="000000"/>
          <w:u w:val="single"/>
          <w:shd w:val="clear" w:color="auto" w:fill="FFFFFF"/>
        </w:rPr>
        <w:t>2025年07月  日 10时30分</w:t>
      </w:r>
    </w:p>
    <w:p w14:paraId="6CCFCE26">
      <w:pPr>
        <w:pStyle w:val="18"/>
        <w:widowControl/>
        <w:shd w:val="clear" w:color="auto" w:fill="FFFFFF"/>
        <w:spacing w:beforeAutospacing="0" w:after="150" w:afterAutospacing="0" w:line="420" w:lineRule="atLeast"/>
        <w:ind w:left="720"/>
        <w:jc w:val="left"/>
        <w:rPr>
          <w:rFonts w:ascii="微软雅黑" w:hAnsi="微软雅黑" w:eastAsia="微软雅黑" w:cs="微软雅黑"/>
          <w:color w:val="000000"/>
        </w:rPr>
      </w:pPr>
      <w:r>
        <w:rPr>
          <w:rFonts w:hint="eastAsia" w:ascii="宋体" w:hAnsi="宋体" w:cs="宋体"/>
          <w:color w:val="000000"/>
          <w:shd w:val="clear" w:color="auto" w:fill="FFFFFF"/>
        </w:rPr>
        <w:t>投标地点（网址）：贵州省公共资源交易网上交易大厅（https://ggzy.guizhou.gov.cn/hallweb/#/login</w:t>
      </w:r>
    </w:p>
    <w:p w14:paraId="7B246709">
      <w:pPr>
        <w:pStyle w:val="18"/>
        <w:widowControl/>
        <w:shd w:val="clear" w:color="auto" w:fill="FFFFFF"/>
        <w:spacing w:beforeAutospacing="0" w:after="150" w:afterAutospacing="0" w:line="420" w:lineRule="atLeast"/>
        <w:ind w:left="720"/>
        <w:jc w:val="left"/>
        <w:rPr>
          <w:rFonts w:ascii="微软雅黑" w:hAnsi="微软雅黑" w:eastAsia="微软雅黑" w:cs="微软雅黑"/>
          <w:color w:val="000000"/>
        </w:rPr>
      </w:pPr>
      <w:r>
        <w:rPr>
          <w:rFonts w:hint="eastAsia" w:ascii="宋体" w:hAnsi="宋体" w:cs="宋体"/>
          <w:color w:val="000000"/>
          <w:shd w:val="clear" w:color="auto" w:fill="FFFFFF"/>
        </w:rPr>
        <w:t>开标时间：</w:t>
      </w:r>
      <w:r>
        <w:rPr>
          <w:rFonts w:hint="eastAsia" w:ascii="宋体" w:hAnsi="宋体" w:cs="宋体"/>
          <w:color w:val="000000"/>
          <w:u w:val="single"/>
          <w:shd w:val="clear" w:color="auto" w:fill="FFFFFF"/>
        </w:rPr>
        <w:t>2025年07月   日 10时30分</w:t>
      </w:r>
    </w:p>
    <w:p w14:paraId="3E91BF61">
      <w:pPr>
        <w:pStyle w:val="18"/>
        <w:widowControl/>
        <w:shd w:val="clear" w:color="auto" w:fill="FFFFFF"/>
        <w:spacing w:beforeAutospacing="0" w:after="150" w:afterAutospacing="0" w:line="420" w:lineRule="atLeast"/>
        <w:ind w:left="720"/>
        <w:jc w:val="left"/>
        <w:rPr>
          <w:rFonts w:ascii="宋体" w:hAnsi="宋体" w:cs="宋体"/>
          <w:shd w:val="clear" w:color="auto" w:fill="FFFFFF"/>
        </w:rPr>
      </w:pPr>
      <w:r>
        <w:rPr>
          <w:rFonts w:hint="eastAsia" w:ascii="宋体" w:hAnsi="宋体" w:cs="宋体"/>
          <w:color w:val="000000"/>
          <w:shd w:val="clear" w:color="auto" w:fill="FFFFFF"/>
        </w:rPr>
        <w:t>开标地点：黔南州公共资源交易中心</w:t>
      </w:r>
    </w:p>
    <w:p w14:paraId="7867B07F">
      <w:pPr>
        <w:pStyle w:val="18"/>
        <w:widowControl/>
        <w:shd w:val="clear" w:color="auto" w:fill="FFFFFF"/>
        <w:spacing w:before="0" w:beforeAutospacing="0" w:after="0" w:afterAutospacing="0" w:line="540" w:lineRule="atLeast"/>
        <w:ind w:firstLine="480"/>
        <w:jc w:val="left"/>
        <w:rPr>
          <w:rFonts w:ascii="宋体" w:hAnsi="宋体" w:cs="宋体"/>
          <w:shd w:val="clear" w:color="auto" w:fill="FFFFFF"/>
        </w:rPr>
      </w:pPr>
      <w:r>
        <w:rPr>
          <w:rFonts w:hint="eastAsia" w:ascii="宋体" w:hAnsi="宋体" w:cs="宋体"/>
          <w:shd w:val="clear" w:color="auto" w:fill="FFFFFF"/>
        </w:rPr>
        <w:t xml:space="preserve">五、公告期限 </w:t>
      </w:r>
    </w:p>
    <w:p w14:paraId="3CEAE42F">
      <w:pPr>
        <w:pStyle w:val="18"/>
        <w:widowControl/>
        <w:shd w:val="clear" w:color="auto" w:fill="FFFFFF"/>
        <w:spacing w:before="0" w:beforeAutospacing="0" w:after="0" w:afterAutospacing="0" w:line="540" w:lineRule="atLeast"/>
        <w:ind w:firstLine="480"/>
        <w:jc w:val="left"/>
        <w:rPr>
          <w:rFonts w:ascii="宋体" w:hAnsi="宋体" w:cs="宋体"/>
          <w:shd w:val="clear" w:color="auto" w:fill="FFFFFF"/>
        </w:rPr>
      </w:pPr>
      <w:r>
        <w:rPr>
          <w:rFonts w:hint="eastAsia" w:ascii="宋体" w:hAnsi="宋体" w:cs="宋体"/>
          <w:shd w:val="clear" w:color="auto" w:fill="FFFFFF"/>
        </w:rPr>
        <w:t xml:space="preserve">自本公告发布之日起 5 个工作日。 </w:t>
      </w:r>
    </w:p>
    <w:p w14:paraId="1A40B638">
      <w:pPr>
        <w:pStyle w:val="18"/>
        <w:widowControl/>
        <w:shd w:val="clear" w:color="auto" w:fill="FFFFFF"/>
        <w:spacing w:before="0" w:beforeAutospacing="0" w:after="0" w:afterAutospacing="0" w:line="540" w:lineRule="atLeast"/>
        <w:ind w:firstLine="480"/>
        <w:jc w:val="left"/>
        <w:rPr>
          <w:rFonts w:ascii="宋体" w:hAnsi="宋体" w:cs="宋体"/>
          <w:shd w:val="clear" w:color="auto" w:fill="FFFFFF"/>
        </w:rPr>
      </w:pPr>
      <w:r>
        <w:rPr>
          <w:rFonts w:hint="eastAsia" w:ascii="宋体" w:hAnsi="宋体" w:cs="宋体"/>
          <w:shd w:val="clear" w:color="auto" w:fill="FFFFFF"/>
        </w:rPr>
        <w:t>六、其他补充事宜：</w:t>
      </w:r>
      <w:r>
        <w:rPr>
          <w:rFonts w:hint="eastAsia" w:ascii="宋体" w:hAnsi="宋体" w:cs="宋体"/>
          <w:shd w:val="clear" w:color="auto" w:fill="FFFFFF"/>
          <w:lang w:val="en-US" w:eastAsia="zh-CN"/>
        </w:rPr>
        <w:t>无</w:t>
      </w:r>
      <w:r>
        <w:rPr>
          <w:rFonts w:hint="eastAsia" w:ascii="宋体" w:hAnsi="宋体" w:cs="宋体"/>
          <w:shd w:val="clear" w:color="auto" w:fill="FFFFFF"/>
        </w:rPr>
        <w:t xml:space="preserve"> </w:t>
      </w:r>
    </w:p>
    <w:p w14:paraId="3F9B3F56">
      <w:pPr>
        <w:pStyle w:val="18"/>
        <w:widowControl/>
        <w:shd w:val="clear" w:color="auto" w:fill="FFFFFF"/>
        <w:spacing w:before="0" w:beforeAutospacing="0" w:after="0" w:afterAutospacing="0" w:line="540" w:lineRule="atLeast"/>
        <w:ind w:firstLine="480"/>
        <w:jc w:val="left"/>
        <w:rPr>
          <w:rFonts w:ascii="宋体" w:hAnsi="宋体" w:cs="宋体"/>
          <w:shd w:val="clear" w:color="auto" w:fill="FFFFFF"/>
        </w:rPr>
      </w:pPr>
      <w:r>
        <w:rPr>
          <w:rFonts w:hint="eastAsia" w:ascii="宋体" w:hAnsi="宋体" w:cs="宋体"/>
          <w:shd w:val="clear" w:color="auto" w:fill="FFFFFF"/>
        </w:rPr>
        <w:t xml:space="preserve">七、凡对本次招标提出询问，请按以下方式联系 </w:t>
      </w:r>
    </w:p>
    <w:p w14:paraId="41D99A89">
      <w:pPr>
        <w:pStyle w:val="18"/>
        <w:widowControl/>
        <w:shd w:val="clear" w:color="auto" w:fill="FFFFFF"/>
        <w:spacing w:before="0" w:beforeAutospacing="0" w:after="0" w:afterAutospacing="0" w:line="540" w:lineRule="atLeast"/>
        <w:ind w:firstLine="480"/>
        <w:jc w:val="left"/>
        <w:rPr>
          <w:rFonts w:ascii="宋体" w:hAnsi="宋体" w:cs="宋体"/>
          <w:shd w:val="clear" w:color="auto" w:fill="FFFFFF"/>
        </w:rPr>
      </w:pPr>
      <w:r>
        <w:rPr>
          <w:rFonts w:hint="eastAsia" w:ascii="宋体" w:hAnsi="宋体" w:cs="宋体"/>
          <w:shd w:val="clear" w:color="auto" w:fill="FFFFFF"/>
        </w:rPr>
        <w:t xml:space="preserve">1.采购人信息  </w:t>
      </w:r>
    </w:p>
    <w:p w14:paraId="540A60DF">
      <w:pPr>
        <w:pStyle w:val="18"/>
        <w:widowControl/>
        <w:shd w:val="clear" w:color="auto" w:fill="FFFFFF"/>
        <w:spacing w:before="0" w:beforeAutospacing="0" w:after="0" w:afterAutospacing="0" w:line="540" w:lineRule="atLeast"/>
        <w:ind w:firstLine="480"/>
        <w:jc w:val="left"/>
        <w:rPr>
          <w:rFonts w:ascii="宋体" w:hAnsi="宋体" w:cs="宋体"/>
          <w:shd w:val="clear" w:color="auto" w:fill="FFFFFF"/>
        </w:rPr>
      </w:pPr>
      <w:r>
        <w:rPr>
          <w:rFonts w:hint="eastAsia" w:ascii="宋体" w:hAnsi="宋体" w:cs="宋体"/>
          <w:shd w:val="clear" w:color="auto" w:fill="FFFFFF"/>
        </w:rPr>
        <w:t xml:space="preserve">名 称：罗甸县工业园区管理委员会  </w:t>
      </w:r>
    </w:p>
    <w:p w14:paraId="2D332274">
      <w:pPr>
        <w:pStyle w:val="18"/>
        <w:widowControl/>
        <w:shd w:val="clear" w:color="auto" w:fill="FFFFFF"/>
        <w:spacing w:before="0" w:beforeAutospacing="0" w:after="0" w:afterAutospacing="0" w:line="540" w:lineRule="atLeast"/>
        <w:ind w:firstLine="480"/>
        <w:jc w:val="left"/>
        <w:rPr>
          <w:rFonts w:ascii="宋体" w:hAnsi="宋体" w:cs="宋体"/>
          <w:shd w:val="clear" w:color="auto" w:fill="FFFFFF"/>
        </w:rPr>
      </w:pPr>
      <w:r>
        <w:rPr>
          <w:rFonts w:hint="eastAsia" w:ascii="宋体" w:hAnsi="宋体" w:cs="宋体"/>
          <w:shd w:val="clear" w:color="auto" w:fill="FFFFFF"/>
        </w:rPr>
        <w:t xml:space="preserve">地 址：罗甸县  </w:t>
      </w:r>
    </w:p>
    <w:p w14:paraId="1DBD9502">
      <w:pPr>
        <w:pStyle w:val="18"/>
        <w:widowControl/>
        <w:shd w:val="clear" w:color="auto" w:fill="FFFFFF"/>
        <w:spacing w:before="0" w:beforeAutospacing="0" w:after="0" w:afterAutospacing="0" w:line="540" w:lineRule="atLeast"/>
        <w:ind w:firstLine="480"/>
        <w:jc w:val="left"/>
        <w:rPr>
          <w:rFonts w:ascii="宋体" w:hAnsi="宋体" w:cs="宋体"/>
          <w:shd w:val="clear" w:color="auto" w:fill="FFFFFF"/>
        </w:rPr>
      </w:pPr>
      <w:r>
        <w:rPr>
          <w:rFonts w:hint="eastAsia" w:ascii="宋体" w:hAnsi="宋体" w:cs="宋体"/>
          <w:shd w:val="clear" w:color="auto" w:fill="FFFFFF"/>
        </w:rPr>
        <w:t>传 真： /</w:t>
      </w:r>
    </w:p>
    <w:p w14:paraId="0D0A318A">
      <w:pPr>
        <w:pStyle w:val="18"/>
        <w:widowControl/>
        <w:shd w:val="clear" w:color="auto" w:fill="FFFFFF"/>
        <w:spacing w:before="0" w:beforeAutospacing="0" w:after="0" w:afterAutospacing="0" w:line="540" w:lineRule="atLeast"/>
        <w:ind w:firstLine="480"/>
        <w:jc w:val="left"/>
        <w:rPr>
          <w:rFonts w:ascii="宋体" w:hAnsi="宋体" w:cs="宋体"/>
          <w:shd w:val="clear" w:color="auto" w:fill="FFFFFF"/>
        </w:rPr>
      </w:pPr>
      <w:r>
        <w:rPr>
          <w:rFonts w:hint="eastAsia" w:ascii="宋体" w:hAnsi="宋体" w:cs="宋体"/>
          <w:shd w:val="clear" w:color="auto" w:fill="FFFFFF"/>
        </w:rPr>
        <w:t>项目联系人：</w:t>
      </w:r>
      <w:r>
        <w:rPr>
          <w:rFonts w:hint="eastAsia" w:ascii="宋体" w:hAnsi="宋体" w:cs="宋体"/>
          <w:spacing w:val="-1"/>
          <w:shd w:val="clear" w:color="auto" w:fill="FFFFFE"/>
          <w:lang w:val="en-US" w:eastAsia="zh-CN"/>
        </w:rPr>
        <w:t>黄瑞星</w:t>
      </w:r>
      <w:r>
        <w:rPr>
          <w:rFonts w:hint="eastAsia" w:ascii="宋体" w:hAnsi="宋体" w:cs="宋体"/>
          <w:shd w:val="clear" w:color="auto" w:fill="FFFFFF"/>
        </w:rPr>
        <w:t xml:space="preserve"> </w:t>
      </w:r>
    </w:p>
    <w:p w14:paraId="5B1B3D5E">
      <w:pPr>
        <w:pStyle w:val="18"/>
        <w:widowControl/>
        <w:shd w:val="clear" w:color="auto" w:fill="FFFFFF"/>
        <w:spacing w:before="0" w:beforeAutospacing="0" w:after="0" w:afterAutospacing="0" w:line="540" w:lineRule="atLeast"/>
        <w:ind w:firstLine="480"/>
        <w:jc w:val="left"/>
        <w:rPr>
          <w:rFonts w:ascii="宋体" w:hAnsi="宋体" w:cs="宋体"/>
          <w:shd w:val="clear" w:color="auto" w:fill="FFFFFF"/>
        </w:rPr>
      </w:pPr>
      <w:r>
        <w:rPr>
          <w:rFonts w:hint="eastAsia" w:ascii="宋体" w:hAnsi="宋体" w:cs="宋体"/>
          <w:shd w:val="clear" w:color="auto" w:fill="FFFFFF"/>
        </w:rPr>
        <w:t>联系电话：</w:t>
      </w:r>
      <w:r>
        <w:rPr>
          <w:rFonts w:hint="eastAsia" w:ascii="宋体" w:hAnsi="宋体" w:cs="宋体"/>
          <w:shd w:val="clear" w:color="auto" w:fill="FFFFFF"/>
          <w:lang w:val="en-US" w:eastAsia="zh-CN"/>
        </w:rPr>
        <w:t>18375150747</w:t>
      </w:r>
      <w:r>
        <w:rPr>
          <w:rFonts w:hint="eastAsia" w:ascii="宋体" w:hAnsi="宋体" w:cs="宋体"/>
          <w:shd w:val="clear" w:color="auto" w:fill="FFFFFF"/>
        </w:rPr>
        <w:t xml:space="preserve"> </w:t>
      </w:r>
    </w:p>
    <w:p w14:paraId="3F0E2EDE">
      <w:pPr>
        <w:pStyle w:val="18"/>
        <w:widowControl/>
        <w:shd w:val="clear" w:color="auto" w:fill="FFFFFF"/>
        <w:spacing w:before="0" w:beforeAutospacing="0" w:after="0" w:afterAutospacing="0" w:line="540" w:lineRule="atLeast"/>
        <w:ind w:firstLine="480"/>
        <w:jc w:val="left"/>
        <w:rPr>
          <w:rFonts w:ascii="宋体" w:hAnsi="宋体" w:cs="宋体"/>
          <w:shd w:val="clear" w:color="auto" w:fill="FFFFFF"/>
        </w:rPr>
      </w:pPr>
      <w:r>
        <w:rPr>
          <w:rFonts w:hint="eastAsia" w:ascii="宋体" w:hAnsi="宋体" w:cs="宋体"/>
          <w:shd w:val="clear" w:color="auto" w:fill="FFFFFF"/>
        </w:rPr>
        <w:t xml:space="preserve">2.采购代理机构信息 </w:t>
      </w:r>
    </w:p>
    <w:p w14:paraId="1E28CDD2">
      <w:pPr>
        <w:pStyle w:val="18"/>
        <w:widowControl/>
        <w:shd w:val="clear" w:color="auto" w:fill="FFFFFF"/>
        <w:spacing w:before="0" w:beforeAutospacing="0" w:after="0" w:afterAutospacing="0" w:line="540" w:lineRule="atLeast"/>
        <w:ind w:firstLine="480"/>
        <w:jc w:val="left"/>
        <w:rPr>
          <w:rFonts w:ascii="宋体" w:hAnsi="宋体" w:cs="宋体"/>
          <w:shd w:val="clear" w:color="auto" w:fill="FFFFFF"/>
        </w:rPr>
      </w:pPr>
      <w:r>
        <w:rPr>
          <w:rFonts w:hint="eastAsia" w:ascii="宋体" w:hAnsi="宋体" w:cs="宋体"/>
          <w:shd w:val="clear" w:color="auto" w:fill="FFFFFF"/>
        </w:rPr>
        <w:t>名 称：贵州远胜博瑞项目管理咨询有限公司</w:t>
      </w:r>
    </w:p>
    <w:p w14:paraId="1E6CBC98">
      <w:pPr>
        <w:pStyle w:val="18"/>
        <w:widowControl/>
        <w:shd w:val="clear" w:color="auto" w:fill="FFFFFF"/>
        <w:spacing w:before="0" w:beforeAutospacing="0" w:after="0" w:afterAutospacing="0" w:line="540" w:lineRule="atLeast"/>
        <w:ind w:firstLine="480"/>
        <w:jc w:val="left"/>
        <w:rPr>
          <w:rFonts w:ascii="宋体" w:hAnsi="宋体" w:cs="宋体"/>
          <w:shd w:val="clear" w:color="auto" w:fill="FFFFFF"/>
        </w:rPr>
      </w:pPr>
      <w:r>
        <w:rPr>
          <w:rFonts w:hint="eastAsia" w:ascii="宋体" w:hAnsi="宋体" w:cs="宋体"/>
          <w:shd w:val="clear" w:color="auto" w:fill="FFFFFF"/>
        </w:rPr>
        <w:t>地 址：贵阳市小河区万科大都会南区15栋14楼12号</w:t>
      </w:r>
    </w:p>
    <w:p w14:paraId="4C8BDBC0">
      <w:pPr>
        <w:pStyle w:val="18"/>
        <w:widowControl/>
        <w:shd w:val="clear" w:color="auto" w:fill="FFFFFF"/>
        <w:spacing w:before="0" w:beforeAutospacing="0" w:after="0" w:afterAutospacing="0" w:line="540" w:lineRule="atLeast"/>
        <w:ind w:firstLine="480"/>
        <w:jc w:val="left"/>
        <w:rPr>
          <w:rFonts w:ascii="宋体" w:hAnsi="宋体" w:cs="宋体"/>
          <w:shd w:val="clear" w:color="auto" w:fill="FFFFFF"/>
        </w:rPr>
      </w:pPr>
      <w:r>
        <w:rPr>
          <w:rFonts w:hint="eastAsia" w:ascii="宋体" w:hAnsi="宋体" w:cs="宋体"/>
          <w:shd w:val="clear" w:color="auto" w:fill="FFFFFF"/>
        </w:rPr>
        <w:t>传 真：/</w:t>
      </w:r>
    </w:p>
    <w:p w14:paraId="2C7A27FF">
      <w:pPr>
        <w:pStyle w:val="18"/>
        <w:widowControl/>
        <w:shd w:val="clear" w:color="auto" w:fill="FFFFFF"/>
        <w:spacing w:before="0" w:beforeAutospacing="0" w:after="0" w:afterAutospacing="0" w:line="540" w:lineRule="atLeast"/>
        <w:ind w:firstLine="480"/>
        <w:jc w:val="left"/>
        <w:rPr>
          <w:rFonts w:ascii="宋体" w:hAnsi="宋体" w:cs="宋体"/>
          <w:shd w:val="clear" w:color="auto" w:fill="FFFFFF"/>
        </w:rPr>
      </w:pPr>
      <w:r>
        <w:rPr>
          <w:rFonts w:hint="eastAsia" w:ascii="宋体" w:hAnsi="宋体" w:cs="宋体"/>
          <w:shd w:val="clear" w:color="auto" w:fill="FFFFFF"/>
        </w:rPr>
        <w:t>联系人：宋应钊、张宇、周毅</w:t>
      </w:r>
    </w:p>
    <w:p w14:paraId="655D33E8">
      <w:pPr>
        <w:pStyle w:val="18"/>
        <w:widowControl/>
        <w:shd w:val="clear" w:color="auto" w:fill="FFFFFF"/>
        <w:spacing w:before="0" w:beforeAutospacing="0" w:after="0" w:afterAutospacing="0" w:line="540" w:lineRule="atLeast"/>
        <w:ind w:firstLine="480"/>
        <w:jc w:val="left"/>
        <w:rPr>
          <w:rFonts w:ascii="宋体" w:hAnsi="宋体" w:cs="宋体"/>
          <w:shd w:val="clear" w:color="auto" w:fill="FFFFFF"/>
        </w:rPr>
      </w:pPr>
      <w:r>
        <w:rPr>
          <w:rFonts w:hint="eastAsia" w:ascii="宋体" w:hAnsi="宋体" w:cs="宋体"/>
          <w:shd w:val="clear" w:color="auto" w:fill="FFFFFF"/>
        </w:rPr>
        <w:t>联系电话：18085459051</w:t>
      </w:r>
    </w:p>
    <w:p w14:paraId="44B89735">
      <w:pPr>
        <w:pStyle w:val="2"/>
        <w:rPr>
          <w:rFonts w:hint="eastAsia" w:ascii="宋体" w:hAnsi="宋体" w:cs="宋体"/>
          <w:color w:val="auto"/>
          <w:kern w:val="0"/>
          <w:sz w:val="24"/>
          <w:szCs w:val="18"/>
          <w:highlight w:val="none"/>
        </w:rPr>
      </w:pPr>
    </w:p>
    <w:p w14:paraId="69336E3D">
      <w:pPr>
        <w:pStyle w:val="2"/>
        <w:rPr>
          <w:rFonts w:hint="eastAsia" w:ascii="宋体" w:hAnsi="宋体" w:cs="宋体"/>
          <w:color w:val="auto"/>
          <w:kern w:val="0"/>
          <w:sz w:val="24"/>
          <w:szCs w:val="18"/>
          <w:highlight w:val="none"/>
        </w:rPr>
      </w:pPr>
    </w:p>
    <w:p w14:paraId="1F8C21F9">
      <w:pPr>
        <w:pStyle w:val="2"/>
        <w:rPr>
          <w:rFonts w:hint="eastAsia" w:ascii="宋体" w:hAnsi="宋体" w:cs="宋体"/>
          <w:color w:val="auto"/>
          <w:kern w:val="0"/>
          <w:sz w:val="24"/>
          <w:szCs w:val="18"/>
          <w:highlight w:val="none"/>
        </w:rPr>
      </w:pPr>
    </w:p>
    <w:p w14:paraId="73C2588F">
      <w:pPr>
        <w:pStyle w:val="2"/>
        <w:rPr>
          <w:rFonts w:hint="eastAsia" w:ascii="宋体" w:hAnsi="宋体" w:cs="宋体"/>
          <w:color w:val="auto"/>
          <w:kern w:val="0"/>
          <w:sz w:val="24"/>
          <w:szCs w:val="18"/>
          <w:highlight w:val="none"/>
        </w:rPr>
      </w:pPr>
    </w:p>
    <w:p w14:paraId="7A4549A1">
      <w:pPr>
        <w:pStyle w:val="2"/>
        <w:rPr>
          <w:rFonts w:hint="eastAsia" w:ascii="宋体" w:hAnsi="宋体" w:cs="宋体"/>
          <w:color w:val="auto"/>
          <w:kern w:val="0"/>
          <w:sz w:val="24"/>
          <w:szCs w:val="18"/>
          <w:highlight w:val="none"/>
        </w:rPr>
      </w:pPr>
    </w:p>
    <w:p w14:paraId="10DFBD9B">
      <w:pPr>
        <w:pStyle w:val="2"/>
        <w:rPr>
          <w:rFonts w:hint="eastAsia" w:ascii="宋体" w:hAnsi="宋体" w:cs="宋体"/>
          <w:color w:val="auto"/>
          <w:kern w:val="0"/>
          <w:sz w:val="24"/>
          <w:szCs w:val="18"/>
          <w:highlight w:val="none"/>
        </w:rPr>
      </w:pPr>
    </w:p>
    <w:p w14:paraId="6F0C4D55">
      <w:pPr>
        <w:pStyle w:val="2"/>
        <w:rPr>
          <w:rFonts w:hint="eastAsia" w:ascii="宋体" w:hAnsi="宋体" w:cs="宋体"/>
          <w:color w:val="auto"/>
          <w:kern w:val="0"/>
          <w:sz w:val="24"/>
          <w:szCs w:val="18"/>
          <w:highlight w:val="none"/>
        </w:rPr>
      </w:pPr>
    </w:p>
    <w:p w14:paraId="19EC2BEB">
      <w:pPr>
        <w:pStyle w:val="2"/>
        <w:rPr>
          <w:rFonts w:hint="eastAsia" w:ascii="宋体" w:hAnsi="宋体" w:cs="宋体"/>
          <w:color w:val="auto"/>
          <w:kern w:val="0"/>
          <w:sz w:val="24"/>
          <w:szCs w:val="18"/>
          <w:highlight w:val="none"/>
        </w:rPr>
      </w:pPr>
    </w:p>
    <w:p w14:paraId="6A935DEB">
      <w:pPr>
        <w:pStyle w:val="2"/>
        <w:rPr>
          <w:rFonts w:hint="eastAsia" w:ascii="宋体" w:hAnsi="宋体" w:cs="宋体"/>
          <w:color w:val="auto"/>
          <w:kern w:val="0"/>
          <w:sz w:val="24"/>
          <w:szCs w:val="18"/>
          <w:highlight w:val="none"/>
        </w:rPr>
      </w:pPr>
    </w:p>
    <w:p w14:paraId="7B363B57">
      <w:pPr>
        <w:pStyle w:val="2"/>
        <w:rPr>
          <w:rFonts w:hint="eastAsia" w:ascii="宋体" w:hAnsi="宋体" w:cs="宋体"/>
          <w:color w:val="auto"/>
          <w:kern w:val="0"/>
          <w:sz w:val="24"/>
          <w:szCs w:val="18"/>
          <w:highlight w:val="none"/>
        </w:rPr>
      </w:pPr>
    </w:p>
    <w:p w14:paraId="7266C2FC">
      <w:pPr>
        <w:widowControl/>
        <w:spacing w:line="360" w:lineRule="auto"/>
        <w:jc w:val="left"/>
        <w:rPr>
          <w:rFonts w:asciiTheme="majorEastAsia" w:hAnsiTheme="majorEastAsia" w:eastAsiaTheme="majorEastAsia" w:cstheme="majorEastAsia"/>
          <w:color w:val="auto"/>
          <w:highlight w:val="none"/>
        </w:rPr>
      </w:pPr>
    </w:p>
    <w:p w14:paraId="031A331E">
      <w:pPr>
        <w:pStyle w:val="8"/>
        <w:spacing w:line="360" w:lineRule="auto"/>
        <w:jc w:val="center"/>
        <w:rPr>
          <w:rFonts w:asciiTheme="majorEastAsia" w:hAnsiTheme="majorEastAsia" w:eastAsiaTheme="majorEastAsia" w:cstheme="majorEastAsia"/>
          <w:color w:val="auto"/>
          <w:sz w:val="28"/>
          <w:highlight w:val="none"/>
        </w:rPr>
      </w:pPr>
      <w:r>
        <w:rPr>
          <w:rFonts w:hint="eastAsia" w:asciiTheme="majorEastAsia" w:hAnsiTheme="majorEastAsia" w:eastAsiaTheme="majorEastAsia" w:cstheme="majorEastAsia"/>
          <w:color w:val="auto"/>
          <w:sz w:val="28"/>
          <w:highlight w:val="none"/>
        </w:rPr>
        <w:t>第二章供应商须知前附表</w:t>
      </w:r>
    </w:p>
    <w:p w14:paraId="6081FE8D">
      <w:pPr>
        <w:pStyle w:val="8"/>
        <w:spacing w:line="360" w:lineRule="auto"/>
        <w:jc w:val="left"/>
        <w:rPr>
          <w:rFonts w:asciiTheme="majorEastAsia" w:hAnsiTheme="majorEastAsia" w:eastAsiaTheme="majorEastAsia" w:cstheme="majorEastAsia"/>
          <w:color w:val="auto"/>
          <w:sz w:val="22"/>
          <w:highlight w:val="none"/>
        </w:rPr>
      </w:pPr>
      <w:r>
        <w:rPr>
          <w:rFonts w:hint="eastAsia" w:asciiTheme="majorEastAsia" w:hAnsiTheme="majorEastAsia" w:eastAsiaTheme="majorEastAsia" w:cstheme="majorEastAsia"/>
          <w:color w:val="auto"/>
          <w:sz w:val="22"/>
          <w:highlight w:val="none"/>
        </w:rPr>
        <w:t>说明：本表是对重要内容的概括介绍，如本表内容与正文内容有冲突，以本表为准。</w:t>
      </w:r>
    </w:p>
    <w:tbl>
      <w:tblPr>
        <w:tblStyle w:val="21"/>
        <w:tblW w:w="9569"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070"/>
        <w:gridCol w:w="1968"/>
        <w:gridCol w:w="6531"/>
      </w:tblGrid>
      <w:tr w14:paraId="44BEB30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070" w:type="dxa"/>
            <w:vAlign w:val="center"/>
          </w:tcPr>
          <w:p w14:paraId="799FE3C1">
            <w:pPr>
              <w:pStyle w:val="8"/>
              <w:spacing w:line="360" w:lineRule="auto"/>
              <w:jc w:val="center"/>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spacing w:val="-4"/>
                <w:sz w:val="24"/>
                <w:highlight w:val="none"/>
              </w:rPr>
              <w:t>序号</w:t>
            </w:r>
          </w:p>
        </w:tc>
        <w:tc>
          <w:tcPr>
            <w:tcW w:w="1968" w:type="dxa"/>
            <w:vAlign w:val="center"/>
          </w:tcPr>
          <w:p w14:paraId="5DF3CFB5">
            <w:pPr>
              <w:pStyle w:val="8"/>
              <w:spacing w:line="360" w:lineRule="auto"/>
              <w:jc w:val="center"/>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spacing w:val="-4"/>
                <w:sz w:val="24"/>
                <w:highlight w:val="none"/>
              </w:rPr>
              <w:t>条款名称</w:t>
            </w:r>
          </w:p>
        </w:tc>
        <w:tc>
          <w:tcPr>
            <w:tcW w:w="6531" w:type="dxa"/>
            <w:vAlign w:val="center"/>
          </w:tcPr>
          <w:p w14:paraId="7CB1DD55">
            <w:pPr>
              <w:pStyle w:val="8"/>
              <w:spacing w:line="360" w:lineRule="auto"/>
              <w:jc w:val="center"/>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spacing w:val="-4"/>
                <w:sz w:val="24"/>
                <w:highlight w:val="none"/>
              </w:rPr>
              <w:t>编制内容</w:t>
            </w:r>
          </w:p>
        </w:tc>
      </w:tr>
      <w:tr w14:paraId="107D9DD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070" w:type="dxa"/>
            <w:vAlign w:val="center"/>
          </w:tcPr>
          <w:p w14:paraId="368116B4">
            <w:pPr>
              <w:widowControl/>
              <w:kinsoku w:val="0"/>
              <w:autoSpaceDE w:val="0"/>
              <w:autoSpaceDN w:val="0"/>
              <w:adjustRightInd w:val="0"/>
              <w:snapToGrid w:val="0"/>
              <w:spacing w:line="360" w:lineRule="auto"/>
              <w:jc w:val="center"/>
              <w:textAlignment w:val="baseline"/>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sz w:val="24"/>
                <w:highlight w:val="none"/>
              </w:rPr>
              <w:t>1</w:t>
            </w:r>
          </w:p>
        </w:tc>
        <w:tc>
          <w:tcPr>
            <w:tcW w:w="1968" w:type="dxa"/>
            <w:vAlign w:val="center"/>
          </w:tcPr>
          <w:p w14:paraId="3301909F">
            <w:pPr>
              <w:widowControl/>
              <w:kinsoku w:val="0"/>
              <w:autoSpaceDE w:val="0"/>
              <w:autoSpaceDN w:val="0"/>
              <w:adjustRightInd w:val="0"/>
              <w:snapToGrid w:val="0"/>
              <w:spacing w:line="360" w:lineRule="auto"/>
              <w:jc w:val="center"/>
              <w:textAlignment w:val="baseline"/>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spacing w:val="-4"/>
                <w:sz w:val="24"/>
                <w:highlight w:val="none"/>
              </w:rPr>
              <w:t>采购人</w:t>
            </w:r>
          </w:p>
        </w:tc>
        <w:tc>
          <w:tcPr>
            <w:tcW w:w="6531" w:type="dxa"/>
            <w:vAlign w:val="center"/>
          </w:tcPr>
          <w:p w14:paraId="5146702A">
            <w:pPr>
              <w:widowControl/>
              <w:kinsoku w:val="0"/>
              <w:autoSpaceDE w:val="0"/>
              <w:autoSpaceDN w:val="0"/>
              <w:adjustRightInd w:val="0"/>
              <w:snapToGrid w:val="0"/>
              <w:spacing w:line="360" w:lineRule="auto"/>
              <w:jc w:val="left"/>
              <w:textAlignment w:val="baseline"/>
              <w:rPr>
                <w:rFonts w:hint="eastAsia" w:ascii="宋体" w:hAnsi="宋体" w:cs="宋体"/>
                <w:spacing w:val="-1"/>
                <w:sz w:val="24"/>
                <w:shd w:val="clear" w:color="auto" w:fill="FFFFFE"/>
              </w:rPr>
            </w:pPr>
            <w:r>
              <w:rPr>
                <w:rFonts w:hint="eastAsia" w:ascii="宋体" w:hAnsi="宋体" w:cs="宋体"/>
                <w:spacing w:val="-1"/>
                <w:sz w:val="24"/>
                <w:shd w:val="clear" w:color="auto" w:fill="FFFFFE"/>
              </w:rPr>
              <w:t>采购人名称: 罗甸县工业园区管理委员会</w:t>
            </w:r>
          </w:p>
          <w:p w14:paraId="1649EAFB">
            <w:pPr>
              <w:widowControl/>
              <w:kinsoku w:val="0"/>
              <w:autoSpaceDE w:val="0"/>
              <w:autoSpaceDN w:val="0"/>
              <w:adjustRightInd w:val="0"/>
              <w:snapToGrid w:val="0"/>
              <w:spacing w:line="360" w:lineRule="auto"/>
              <w:jc w:val="left"/>
              <w:textAlignment w:val="baseline"/>
              <w:rPr>
                <w:rFonts w:hint="eastAsia" w:ascii="宋体" w:hAnsi="宋体" w:cs="宋体"/>
                <w:spacing w:val="-1"/>
                <w:sz w:val="24"/>
                <w:shd w:val="clear" w:color="auto" w:fill="FFFFFE"/>
              </w:rPr>
            </w:pPr>
            <w:r>
              <w:rPr>
                <w:rFonts w:hint="eastAsia" w:ascii="宋体" w:hAnsi="宋体" w:cs="宋体"/>
                <w:spacing w:val="-1"/>
                <w:sz w:val="24"/>
                <w:shd w:val="clear" w:color="auto" w:fill="FFFFFE"/>
              </w:rPr>
              <w:t>项目联系人:</w:t>
            </w:r>
            <w:r>
              <w:rPr>
                <w:rFonts w:hint="eastAsia" w:ascii="宋体" w:hAnsi="宋体" w:cs="宋体"/>
                <w:spacing w:val="-1"/>
                <w:sz w:val="24"/>
                <w:shd w:val="clear" w:color="auto" w:fill="FFFFFE"/>
                <w:lang w:val="en-US" w:eastAsia="zh-CN"/>
              </w:rPr>
              <w:t>黄瑞星</w:t>
            </w:r>
          </w:p>
          <w:p w14:paraId="2CC84BFE">
            <w:pPr>
              <w:widowControl/>
              <w:kinsoku w:val="0"/>
              <w:autoSpaceDE w:val="0"/>
              <w:autoSpaceDN w:val="0"/>
              <w:adjustRightInd w:val="0"/>
              <w:snapToGrid w:val="0"/>
              <w:spacing w:line="360" w:lineRule="auto"/>
              <w:jc w:val="left"/>
              <w:textAlignment w:val="baseline"/>
              <w:rPr>
                <w:rFonts w:hint="eastAsia" w:ascii="宋体" w:hAnsi="宋体" w:cs="宋体"/>
                <w:spacing w:val="-1"/>
                <w:sz w:val="24"/>
                <w:shd w:val="clear" w:color="auto" w:fill="FFFFFE"/>
              </w:rPr>
            </w:pPr>
            <w:r>
              <w:rPr>
                <w:rFonts w:hint="eastAsia" w:ascii="宋体" w:hAnsi="宋体" w:cs="宋体"/>
                <w:spacing w:val="-1"/>
                <w:sz w:val="24"/>
                <w:shd w:val="clear" w:color="auto" w:fill="FFFFFE"/>
              </w:rPr>
              <w:t xml:space="preserve">联系地址: 罗甸县  </w:t>
            </w:r>
          </w:p>
          <w:p w14:paraId="2F48CC88">
            <w:pPr>
              <w:widowControl/>
              <w:kinsoku w:val="0"/>
              <w:autoSpaceDE w:val="0"/>
              <w:autoSpaceDN w:val="0"/>
              <w:adjustRightInd w:val="0"/>
              <w:snapToGrid w:val="0"/>
              <w:spacing w:line="360" w:lineRule="auto"/>
              <w:jc w:val="left"/>
              <w:textAlignment w:val="baseline"/>
              <w:rPr>
                <w:rFonts w:asciiTheme="majorEastAsia" w:hAnsiTheme="majorEastAsia" w:eastAsiaTheme="majorEastAsia" w:cstheme="majorEastAsia"/>
                <w:color w:val="auto"/>
                <w:highlight w:val="none"/>
              </w:rPr>
            </w:pPr>
            <w:r>
              <w:rPr>
                <w:rFonts w:hint="eastAsia" w:ascii="宋体" w:hAnsi="宋体" w:cs="宋体"/>
                <w:spacing w:val="-1"/>
                <w:sz w:val="24"/>
                <w:shd w:val="clear" w:color="auto" w:fill="FFFFFE"/>
              </w:rPr>
              <w:t>联系方式:</w:t>
            </w:r>
            <w:r>
              <w:rPr>
                <w:rFonts w:hint="eastAsia" w:ascii="宋体" w:hAnsi="宋体" w:cs="宋体"/>
                <w:spacing w:val="-1"/>
                <w:sz w:val="24"/>
                <w:shd w:val="clear" w:color="auto" w:fill="FFFFFE"/>
                <w:lang w:val="en-US" w:eastAsia="zh-CN"/>
              </w:rPr>
              <w:t>18375150747</w:t>
            </w:r>
            <w:r>
              <w:rPr>
                <w:rFonts w:hint="eastAsia" w:ascii="宋体" w:hAnsi="宋体" w:cs="宋体"/>
                <w:spacing w:val="-1"/>
                <w:sz w:val="24"/>
                <w:shd w:val="clear" w:color="auto" w:fill="FFFFFE"/>
              </w:rPr>
              <w:t xml:space="preserve"> </w:t>
            </w:r>
          </w:p>
        </w:tc>
      </w:tr>
      <w:tr w14:paraId="5EC536B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070" w:type="dxa"/>
            <w:vAlign w:val="center"/>
          </w:tcPr>
          <w:p w14:paraId="782C24D5">
            <w:pPr>
              <w:widowControl/>
              <w:kinsoku w:val="0"/>
              <w:autoSpaceDE w:val="0"/>
              <w:autoSpaceDN w:val="0"/>
              <w:adjustRightInd w:val="0"/>
              <w:snapToGrid w:val="0"/>
              <w:spacing w:line="360" w:lineRule="auto"/>
              <w:jc w:val="center"/>
              <w:textAlignment w:val="baseline"/>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sz w:val="24"/>
                <w:highlight w:val="none"/>
              </w:rPr>
              <w:t>2</w:t>
            </w:r>
          </w:p>
        </w:tc>
        <w:tc>
          <w:tcPr>
            <w:tcW w:w="1968" w:type="dxa"/>
            <w:vAlign w:val="center"/>
          </w:tcPr>
          <w:p w14:paraId="3559D690">
            <w:pPr>
              <w:widowControl/>
              <w:kinsoku w:val="0"/>
              <w:autoSpaceDE w:val="0"/>
              <w:autoSpaceDN w:val="0"/>
              <w:adjustRightInd w:val="0"/>
              <w:snapToGrid w:val="0"/>
              <w:spacing w:line="360" w:lineRule="auto"/>
              <w:jc w:val="center"/>
              <w:textAlignment w:val="baseline"/>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spacing w:val="-3"/>
                <w:sz w:val="24"/>
                <w:highlight w:val="none"/>
              </w:rPr>
              <w:t>采购代理机构</w:t>
            </w:r>
          </w:p>
        </w:tc>
        <w:tc>
          <w:tcPr>
            <w:tcW w:w="6531" w:type="dxa"/>
            <w:vAlign w:val="center"/>
          </w:tcPr>
          <w:p w14:paraId="5BD554C9">
            <w:pPr>
              <w:widowControl/>
              <w:kinsoku w:val="0"/>
              <w:autoSpaceDE w:val="0"/>
              <w:autoSpaceDN w:val="0"/>
              <w:adjustRightInd w:val="0"/>
              <w:snapToGrid w:val="0"/>
              <w:spacing w:line="360" w:lineRule="auto"/>
              <w:jc w:val="left"/>
              <w:textAlignment w:val="baseline"/>
              <w:rPr>
                <w:rFonts w:ascii="宋体" w:hAnsi="宋体" w:cs="宋体"/>
                <w:spacing w:val="-1"/>
                <w:shd w:val="clear" w:color="auto" w:fill="FFFFFE"/>
              </w:rPr>
            </w:pPr>
            <w:r>
              <w:rPr>
                <w:rFonts w:hint="eastAsia" w:ascii="宋体" w:hAnsi="宋体" w:cs="宋体"/>
                <w:spacing w:val="-1"/>
                <w:sz w:val="24"/>
                <w:shd w:val="clear" w:color="auto" w:fill="FFFFFE"/>
              </w:rPr>
              <w:t xml:space="preserve">代理全称: </w:t>
            </w:r>
            <w:r>
              <w:rPr>
                <w:rFonts w:hint="eastAsia" w:ascii="Arial" w:hAnsi="Arial" w:cs="Arial"/>
                <w:kern w:val="0"/>
                <w:sz w:val="24"/>
                <w:szCs w:val="18"/>
              </w:rPr>
              <w:t>贵州远胜博瑞项目管理咨询有限公司</w:t>
            </w:r>
          </w:p>
          <w:p w14:paraId="22229D14">
            <w:pPr>
              <w:widowControl/>
              <w:wordWrap w:val="0"/>
              <w:spacing w:line="360" w:lineRule="auto"/>
              <w:jc w:val="left"/>
              <w:rPr>
                <w:rFonts w:ascii="宋体" w:hAnsi="宋体" w:cs="宋体"/>
                <w:spacing w:val="-1"/>
                <w:shd w:val="clear" w:color="auto" w:fill="FFFFFE"/>
              </w:rPr>
            </w:pPr>
            <w:r>
              <w:rPr>
                <w:rFonts w:hint="eastAsia" w:ascii="宋体" w:hAnsi="宋体" w:cs="宋体"/>
                <w:spacing w:val="-1"/>
                <w:sz w:val="24"/>
                <w:shd w:val="clear" w:color="auto" w:fill="FFFFFE"/>
              </w:rPr>
              <w:t xml:space="preserve">联系地址: </w:t>
            </w:r>
            <w:r>
              <w:rPr>
                <w:rFonts w:hint="eastAsia" w:ascii="Arial" w:hAnsi="Arial" w:cs="Arial"/>
                <w:kern w:val="0"/>
                <w:sz w:val="24"/>
                <w:szCs w:val="18"/>
              </w:rPr>
              <w:t>贵阳市小河区万科大都会南区15栋14楼12号</w:t>
            </w:r>
            <w:r>
              <w:rPr>
                <w:rFonts w:hint="eastAsia" w:ascii="宋体" w:hAnsi="宋体" w:cs="宋体"/>
                <w:sz w:val="24"/>
              </w:rPr>
              <w:t xml:space="preserve"> </w:t>
            </w:r>
          </w:p>
          <w:p w14:paraId="24F0DDFC">
            <w:pPr>
              <w:widowControl/>
              <w:kinsoku w:val="0"/>
              <w:autoSpaceDE w:val="0"/>
              <w:autoSpaceDN w:val="0"/>
              <w:adjustRightInd w:val="0"/>
              <w:snapToGrid w:val="0"/>
              <w:spacing w:line="360" w:lineRule="auto"/>
              <w:jc w:val="left"/>
              <w:textAlignment w:val="baseline"/>
              <w:rPr>
                <w:rFonts w:ascii="宋体" w:hAnsi="宋体" w:cs="宋体"/>
                <w:spacing w:val="-1"/>
                <w:shd w:val="clear" w:color="auto" w:fill="FFFFFE"/>
              </w:rPr>
            </w:pPr>
            <w:r>
              <w:rPr>
                <w:rFonts w:hint="eastAsia" w:ascii="宋体" w:hAnsi="宋体" w:cs="宋体"/>
                <w:spacing w:val="-1"/>
                <w:sz w:val="24"/>
                <w:shd w:val="clear" w:color="auto" w:fill="FFFFFE"/>
              </w:rPr>
              <w:t xml:space="preserve">项目联系人: </w:t>
            </w:r>
            <w:r>
              <w:rPr>
                <w:rFonts w:hint="eastAsia" w:ascii="Arial" w:hAnsi="Arial" w:cs="Arial"/>
                <w:kern w:val="0"/>
                <w:sz w:val="24"/>
                <w:szCs w:val="18"/>
              </w:rPr>
              <w:t>宋应钊、张宇、周毅</w:t>
            </w:r>
          </w:p>
          <w:p w14:paraId="2C15E429">
            <w:pPr>
              <w:widowControl/>
              <w:kinsoku w:val="0"/>
              <w:autoSpaceDE w:val="0"/>
              <w:autoSpaceDN w:val="0"/>
              <w:adjustRightInd w:val="0"/>
              <w:snapToGrid w:val="0"/>
              <w:spacing w:line="360" w:lineRule="auto"/>
              <w:jc w:val="left"/>
              <w:textAlignment w:val="baseline"/>
              <w:rPr>
                <w:rFonts w:asciiTheme="majorEastAsia" w:hAnsiTheme="majorEastAsia" w:eastAsiaTheme="majorEastAsia" w:cstheme="majorEastAsia"/>
                <w:color w:val="auto"/>
                <w:highlight w:val="none"/>
              </w:rPr>
            </w:pPr>
            <w:r>
              <w:rPr>
                <w:rFonts w:hint="eastAsia" w:ascii="宋体" w:hAnsi="宋体" w:cs="宋体"/>
                <w:spacing w:val="-1"/>
                <w:sz w:val="24"/>
                <w:shd w:val="clear" w:color="auto" w:fill="FFFFFE"/>
              </w:rPr>
              <w:t>联系电话</w:t>
            </w:r>
            <w:r>
              <w:rPr>
                <w:rFonts w:hint="eastAsia" w:ascii="宋体" w:hAnsi="宋体" w:cs="宋体"/>
                <w:sz w:val="24"/>
              </w:rPr>
              <w:t>:</w:t>
            </w:r>
            <w:r>
              <w:rPr>
                <w:rFonts w:hint="eastAsia" w:ascii="宋体" w:hAnsi="宋体" w:cs="宋体"/>
                <w:spacing w:val="-1"/>
                <w:sz w:val="24"/>
                <w:shd w:val="clear" w:color="auto" w:fill="FFFFFE"/>
              </w:rPr>
              <w:t xml:space="preserve"> </w:t>
            </w:r>
            <w:r>
              <w:rPr>
                <w:rFonts w:hint="eastAsia" w:ascii="Arial" w:hAnsi="Arial" w:cs="Arial"/>
                <w:kern w:val="0"/>
                <w:sz w:val="24"/>
                <w:szCs w:val="18"/>
              </w:rPr>
              <w:t>18085459051</w:t>
            </w:r>
          </w:p>
        </w:tc>
      </w:tr>
      <w:tr w14:paraId="6D8C10E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5" w:hRule="atLeast"/>
          <w:jc w:val="center"/>
        </w:trPr>
        <w:tc>
          <w:tcPr>
            <w:tcW w:w="1070" w:type="dxa"/>
            <w:vAlign w:val="center"/>
          </w:tcPr>
          <w:p w14:paraId="1B4CF167">
            <w:pPr>
              <w:widowControl/>
              <w:kinsoku w:val="0"/>
              <w:autoSpaceDE w:val="0"/>
              <w:autoSpaceDN w:val="0"/>
              <w:adjustRightInd w:val="0"/>
              <w:snapToGrid w:val="0"/>
              <w:spacing w:line="360" w:lineRule="auto"/>
              <w:jc w:val="center"/>
              <w:textAlignment w:val="baseline"/>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sz w:val="24"/>
                <w:highlight w:val="none"/>
              </w:rPr>
              <w:t>3</w:t>
            </w:r>
          </w:p>
        </w:tc>
        <w:tc>
          <w:tcPr>
            <w:tcW w:w="1968" w:type="dxa"/>
            <w:vAlign w:val="center"/>
          </w:tcPr>
          <w:p w14:paraId="6E02512C">
            <w:pPr>
              <w:widowControl/>
              <w:kinsoku w:val="0"/>
              <w:autoSpaceDE w:val="0"/>
              <w:autoSpaceDN w:val="0"/>
              <w:adjustRightInd w:val="0"/>
              <w:snapToGrid w:val="0"/>
              <w:spacing w:line="360" w:lineRule="auto"/>
              <w:jc w:val="center"/>
              <w:textAlignment w:val="baseline"/>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spacing w:val="-4"/>
                <w:sz w:val="24"/>
                <w:highlight w:val="none"/>
              </w:rPr>
              <w:t>项目名称</w:t>
            </w:r>
          </w:p>
        </w:tc>
        <w:tc>
          <w:tcPr>
            <w:tcW w:w="6531" w:type="dxa"/>
            <w:vAlign w:val="center"/>
          </w:tcPr>
          <w:p w14:paraId="3FA356C2">
            <w:pPr>
              <w:widowControl/>
              <w:kinsoku w:val="0"/>
              <w:autoSpaceDE w:val="0"/>
              <w:autoSpaceDN w:val="0"/>
              <w:adjustRightInd w:val="0"/>
              <w:snapToGrid w:val="0"/>
              <w:spacing w:line="360" w:lineRule="auto"/>
              <w:jc w:val="left"/>
              <w:textAlignment w:val="baseline"/>
              <w:rPr>
                <w:rFonts w:asciiTheme="majorEastAsia" w:hAnsiTheme="majorEastAsia" w:eastAsiaTheme="majorEastAsia" w:cstheme="majorEastAsia"/>
                <w:color w:val="auto"/>
                <w:highlight w:val="none"/>
              </w:rPr>
            </w:pPr>
            <w:r>
              <w:rPr>
                <w:rFonts w:hint="eastAsia" w:ascii="宋体" w:hAnsi="宋体" w:cs="宋体"/>
                <w:spacing w:val="-1"/>
                <w:sz w:val="24"/>
                <w:shd w:val="clear" w:color="auto" w:fill="FFFFFE"/>
              </w:rPr>
              <w:t xml:space="preserve">罗甸县产业大脑平台项目 </w:t>
            </w:r>
          </w:p>
        </w:tc>
      </w:tr>
      <w:tr w14:paraId="4A64D77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5" w:hRule="atLeast"/>
          <w:jc w:val="center"/>
        </w:trPr>
        <w:tc>
          <w:tcPr>
            <w:tcW w:w="1070" w:type="dxa"/>
            <w:vAlign w:val="center"/>
          </w:tcPr>
          <w:p w14:paraId="2851DA97">
            <w:pPr>
              <w:widowControl/>
              <w:kinsoku w:val="0"/>
              <w:autoSpaceDE w:val="0"/>
              <w:autoSpaceDN w:val="0"/>
              <w:adjustRightInd w:val="0"/>
              <w:snapToGrid w:val="0"/>
              <w:spacing w:line="360" w:lineRule="auto"/>
              <w:jc w:val="center"/>
              <w:textAlignment w:val="baseline"/>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sz w:val="24"/>
                <w:highlight w:val="none"/>
              </w:rPr>
              <w:t>4</w:t>
            </w:r>
          </w:p>
        </w:tc>
        <w:tc>
          <w:tcPr>
            <w:tcW w:w="1968" w:type="dxa"/>
            <w:vAlign w:val="center"/>
          </w:tcPr>
          <w:p w14:paraId="23F606D9">
            <w:pPr>
              <w:widowControl/>
              <w:kinsoku w:val="0"/>
              <w:autoSpaceDE w:val="0"/>
              <w:autoSpaceDN w:val="0"/>
              <w:adjustRightInd w:val="0"/>
              <w:snapToGrid w:val="0"/>
              <w:spacing w:line="360" w:lineRule="auto"/>
              <w:jc w:val="center"/>
              <w:textAlignment w:val="baseline"/>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spacing w:val="-6"/>
                <w:sz w:val="24"/>
                <w:highlight w:val="none"/>
              </w:rPr>
              <w:t>资金来源</w:t>
            </w:r>
          </w:p>
        </w:tc>
        <w:tc>
          <w:tcPr>
            <w:tcW w:w="6531" w:type="dxa"/>
            <w:vAlign w:val="center"/>
          </w:tcPr>
          <w:p w14:paraId="4FB0B640">
            <w:pPr>
              <w:widowControl/>
              <w:kinsoku w:val="0"/>
              <w:autoSpaceDE w:val="0"/>
              <w:autoSpaceDN w:val="0"/>
              <w:adjustRightInd w:val="0"/>
              <w:snapToGrid w:val="0"/>
              <w:spacing w:line="360" w:lineRule="auto"/>
              <w:textAlignment w:val="baseline"/>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spacing w:val="-1"/>
                <w:sz w:val="24"/>
                <w:highlight w:val="none"/>
                <w:shd w:val="clear" w:color="auto" w:fill="FFFFFE"/>
              </w:rPr>
              <w:t>财政资金</w:t>
            </w:r>
          </w:p>
        </w:tc>
      </w:tr>
      <w:tr w14:paraId="36C0C1C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5" w:hRule="atLeast"/>
          <w:jc w:val="center"/>
        </w:trPr>
        <w:tc>
          <w:tcPr>
            <w:tcW w:w="1070" w:type="dxa"/>
            <w:vAlign w:val="center"/>
          </w:tcPr>
          <w:p w14:paraId="721489A4">
            <w:pPr>
              <w:widowControl/>
              <w:kinsoku w:val="0"/>
              <w:autoSpaceDE w:val="0"/>
              <w:autoSpaceDN w:val="0"/>
              <w:adjustRightInd w:val="0"/>
              <w:snapToGrid w:val="0"/>
              <w:spacing w:line="360" w:lineRule="auto"/>
              <w:jc w:val="center"/>
              <w:textAlignment w:val="baseline"/>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sz w:val="24"/>
                <w:highlight w:val="none"/>
              </w:rPr>
              <w:t>5</w:t>
            </w:r>
          </w:p>
        </w:tc>
        <w:tc>
          <w:tcPr>
            <w:tcW w:w="1968" w:type="dxa"/>
            <w:vAlign w:val="center"/>
          </w:tcPr>
          <w:p w14:paraId="2AF430DB">
            <w:pPr>
              <w:widowControl/>
              <w:wordWrap w:val="0"/>
              <w:spacing w:line="360" w:lineRule="auto"/>
              <w:jc w:val="left"/>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预算金额</w:t>
            </w:r>
          </w:p>
        </w:tc>
        <w:tc>
          <w:tcPr>
            <w:tcW w:w="6531" w:type="dxa"/>
            <w:vAlign w:val="center"/>
          </w:tcPr>
          <w:p w14:paraId="2EDC5EC0">
            <w:pPr>
              <w:widowControl/>
              <w:kinsoku w:val="0"/>
              <w:autoSpaceDE w:val="0"/>
              <w:autoSpaceDN w:val="0"/>
              <w:adjustRightInd w:val="0"/>
              <w:snapToGrid w:val="0"/>
              <w:spacing w:line="360" w:lineRule="auto"/>
              <w:textAlignment w:val="baseline"/>
              <w:rPr>
                <w:rFonts w:ascii="宋体" w:hAnsi="宋体" w:cs="宋体"/>
                <w:sz w:val="24"/>
              </w:rPr>
            </w:pPr>
            <w:r>
              <w:rPr>
                <w:rFonts w:hint="eastAsia" w:ascii="宋体" w:hAnsi="宋体" w:cs="宋体"/>
                <w:sz w:val="24"/>
              </w:rPr>
              <w:t>本项目资金来源为财政性资金。</w:t>
            </w:r>
          </w:p>
          <w:p w14:paraId="6BFCC0C1">
            <w:pPr>
              <w:widowControl/>
              <w:wordWrap w:val="0"/>
              <w:spacing w:line="360" w:lineRule="auto"/>
              <w:jc w:val="left"/>
              <w:rPr>
                <w:rFonts w:asciiTheme="majorEastAsia" w:hAnsiTheme="majorEastAsia" w:eastAsiaTheme="majorEastAsia" w:cstheme="majorEastAsia"/>
                <w:color w:val="auto"/>
                <w:sz w:val="24"/>
                <w:highlight w:val="none"/>
              </w:rPr>
            </w:pPr>
            <w:r>
              <w:rPr>
                <w:rFonts w:hint="eastAsia" w:ascii="宋体" w:hAnsi="宋体" w:cs="宋体"/>
                <w:sz w:val="24"/>
                <w:highlight w:val="none"/>
              </w:rPr>
              <w:t>项目采购预算为:￥</w:t>
            </w:r>
            <w:r>
              <w:rPr>
                <w:rFonts w:hint="eastAsia" w:ascii="宋体" w:hAnsi="宋体" w:cs="宋体"/>
                <w:b/>
                <w:sz w:val="24"/>
                <w:highlight w:val="none"/>
                <w:u w:val="single"/>
              </w:rPr>
              <w:t xml:space="preserve"> </w:t>
            </w:r>
            <w:r>
              <w:rPr>
                <w:rFonts w:ascii="宋体" w:hAnsi="宋体" w:cs="宋体"/>
                <w:b/>
                <w:sz w:val="24"/>
                <w:highlight w:val="none"/>
                <w:u w:val="single"/>
              </w:rPr>
              <w:t>200</w:t>
            </w:r>
            <w:r>
              <w:rPr>
                <w:rFonts w:hint="eastAsia" w:ascii="宋体" w:hAnsi="宋体" w:cs="宋体"/>
                <w:b/>
                <w:sz w:val="24"/>
                <w:highlight w:val="none"/>
                <w:u w:val="single"/>
              </w:rPr>
              <w:t>万</w:t>
            </w:r>
            <w:r>
              <w:rPr>
                <w:rFonts w:hint="eastAsia" w:ascii="宋体" w:hAnsi="宋体" w:cs="宋体"/>
                <w:sz w:val="24"/>
                <w:highlight w:val="none"/>
              </w:rPr>
              <w:t>元</w:t>
            </w:r>
          </w:p>
        </w:tc>
      </w:tr>
      <w:tr w14:paraId="620C18B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5" w:hRule="atLeast"/>
          <w:jc w:val="center"/>
        </w:trPr>
        <w:tc>
          <w:tcPr>
            <w:tcW w:w="1070" w:type="dxa"/>
            <w:vAlign w:val="center"/>
          </w:tcPr>
          <w:p w14:paraId="4558F72C">
            <w:pPr>
              <w:widowControl/>
              <w:kinsoku w:val="0"/>
              <w:autoSpaceDE w:val="0"/>
              <w:autoSpaceDN w:val="0"/>
              <w:adjustRightInd w:val="0"/>
              <w:snapToGrid w:val="0"/>
              <w:spacing w:line="360" w:lineRule="auto"/>
              <w:jc w:val="center"/>
              <w:textAlignment w:val="baseline"/>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sz w:val="24"/>
                <w:highlight w:val="none"/>
              </w:rPr>
              <w:t>6</w:t>
            </w:r>
          </w:p>
        </w:tc>
        <w:tc>
          <w:tcPr>
            <w:tcW w:w="1968" w:type="dxa"/>
            <w:vAlign w:val="center"/>
          </w:tcPr>
          <w:p w14:paraId="39FCF7A1">
            <w:pPr>
              <w:widowControl/>
              <w:kinsoku w:val="0"/>
              <w:autoSpaceDE w:val="0"/>
              <w:autoSpaceDN w:val="0"/>
              <w:adjustRightInd w:val="0"/>
              <w:snapToGrid w:val="0"/>
              <w:spacing w:line="360" w:lineRule="auto"/>
              <w:jc w:val="center"/>
              <w:textAlignment w:val="baseline"/>
              <w:rPr>
                <w:rFonts w:asciiTheme="majorEastAsia" w:hAnsiTheme="majorEastAsia" w:eastAsiaTheme="majorEastAsia" w:cstheme="majorEastAsia"/>
                <w:color w:val="auto"/>
                <w:spacing w:val="-6"/>
                <w:highlight w:val="none"/>
              </w:rPr>
            </w:pPr>
            <w:r>
              <w:rPr>
                <w:rFonts w:hint="eastAsia" w:asciiTheme="majorEastAsia" w:hAnsiTheme="majorEastAsia" w:eastAsiaTheme="majorEastAsia" w:cstheme="majorEastAsia"/>
                <w:color w:val="auto"/>
                <w:spacing w:val="-6"/>
                <w:sz w:val="24"/>
                <w:highlight w:val="none"/>
              </w:rPr>
              <w:t>最高限价</w:t>
            </w:r>
          </w:p>
        </w:tc>
        <w:tc>
          <w:tcPr>
            <w:tcW w:w="6531" w:type="dxa"/>
            <w:vAlign w:val="center"/>
          </w:tcPr>
          <w:p w14:paraId="02942672">
            <w:pPr>
              <w:widowControl/>
              <w:wordWrap w:val="0"/>
              <w:spacing w:line="360" w:lineRule="auto"/>
              <w:jc w:val="left"/>
              <w:rPr>
                <w:rFonts w:hint="eastAsia" w:eastAsiaTheme="majorEastAsia"/>
                <w:color w:val="auto"/>
                <w:highlight w:val="none"/>
                <w:lang w:val="en-US" w:eastAsia="zh-CN"/>
              </w:rPr>
            </w:pPr>
            <w:r>
              <w:rPr>
                <w:rFonts w:hint="eastAsia" w:ascii="宋体" w:hAnsi="宋体" w:cs="宋体"/>
                <w:b/>
                <w:sz w:val="24"/>
                <w:highlight w:val="none"/>
                <w:u w:val="single"/>
              </w:rPr>
              <w:t xml:space="preserve"> </w:t>
            </w:r>
            <w:r>
              <w:rPr>
                <w:rFonts w:ascii="宋体" w:hAnsi="宋体" w:cs="宋体"/>
                <w:b/>
                <w:sz w:val="24"/>
                <w:highlight w:val="none"/>
                <w:u w:val="single"/>
              </w:rPr>
              <w:t>200</w:t>
            </w:r>
            <w:r>
              <w:rPr>
                <w:rFonts w:hint="eastAsia" w:ascii="宋体" w:hAnsi="宋体" w:cs="宋体"/>
                <w:b/>
                <w:sz w:val="24"/>
                <w:highlight w:val="none"/>
                <w:u w:val="single"/>
              </w:rPr>
              <w:t>万</w:t>
            </w:r>
            <w:r>
              <w:rPr>
                <w:rFonts w:hint="eastAsia" w:ascii="宋体" w:hAnsi="宋体" w:cs="宋体"/>
                <w:sz w:val="24"/>
                <w:highlight w:val="none"/>
              </w:rPr>
              <w:t>元</w:t>
            </w:r>
          </w:p>
        </w:tc>
      </w:tr>
      <w:tr w14:paraId="50BEE21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5" w:hRule="atLeast"/>
          <w:jc w:val="center"/>
        </w:trPr>
        <w:tc>
          <w:tcPr>
            <w:tcW w:w="1070" w:type="dxa"/>
            <w:vAlign w:val="center"/>
          </w:tcPr>
          <w:p w14:paraId="25896AC6">
            <w:pPr>
              <w:widowControl/>
              <w:kinsoku w:val="0"/>
              <w:autoSpaceDE w:val="0"/>
              <w:autoSpaceDN w:val="0"/>
              <w:adjustRightInd w:val="0"/>
              <w:snapToGrid w:val="0"/>
              <w:spacing w:line="360" w:lineRule="auto"/>
              <w:jc w:val="center"/>
              <w:textAlignment w:val="baseline"/>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sz w:val="24"/>
                <w:highlight w:val="none"/>
              </w:rPr>
              <w:t>7</w:t>
            </w:r>
          </w:p>
        </w:tc>
        <w:tc>
          <w:tcPr>
            <w:tcW w:w="1968" w:type="dxa"/>
            <w:vAlign w:val="center"/>
          </w:tcPr>
          <w:p w14:paraId="20365FC2">
            <w:pPr>
              <w:widowControl/>
              <w:kinsoku w:val="0"/>
              <w:autoSpaceDE w:val="0"/>
              <w:autoSpaceDN w:val="0"/>
              <w:adjustRightInd w:val="0"/>
              <w:snapToGrid w:val="0"/>
              <w:spacing w:line="360" w:lineRule="auto"/>
              <w:jc w:val="center"/>
              <w:textAlignment w:val="baseline"/>
              <w:rPr>
                <w:rFonts w:asciiTheme="majorEastAsia" w:hAnsiTheme="majorEastAsia" w:eastAsiaTheme="majorEastAsia" w:cstheme="majorEastAsia"/>
                <w:color w:val="auto"/>
                <w:spacing w:val="-6"/>
                <w:highlight w:val="none"/>
              </w:rPr>
            </w:pPr>
            <w:r>
              <w:rPr>
                <w:rFonts w:hint="eastAsia" w:asciiTheme="majorEastAsia" w:hAnsiTheme="majorEastAsia" w:eastAsiaTheme="majorEastAsia" w:cstheme="majorEastAsia"/>
                <w:color w:val="auto"/>
                <w:spacing w:val="-3"/>
                <w:sz w:val="24"/>
                <w:highlight w:val="none"/>
              </w:rPr>
              <w:t>采购方式</w:t>
            </w:r>
          </w:p>
        </w:tc>
        <w:tc>
          <w:tcPr>
            <w:tcW w:w="6531" w:type="dxa"/>
            <w:vAlign w:val="center"/>
          </w:tcPr>
          <w:p w14:paraId="4CB1EF4D">
            <w:pPr>
              <w:widowControl/>
              <w:kinsoku w:val="0"/>
              <w:autoSpaceDE w:val="0"/>
              <w:autoSpaceDN w:val="0"/>
              <w:adjustRightInd w:val="0"/>
              <w:snapToGrid w:val="0"/>
              <w:spacing w:line="360" w:lineRule="auto"/>
              <w:textAlignment w:val="baseline"/>
              <w:rPr>
                <w:rFonts w:asciiTheme="majorEastAsia" w:hAnsiTheme="majorEastAsia" w:eastAsiaTheme="majorEastAsia" w:cstheme="majorEastAsia"/>
                <w:bCs/>
                <w:color w:val="auto"/>
                <w:highlight w:val="none"/>
              </w:rPr>
            </w:pPr>
            <w:r>
              <w:rPr>
                <w:rFonts w:hint="eastAsia" w:asciiTheme="majorEastAsia" w:hAnsiTheme="majorEastAsia" w:eastAsiaTheme="majorEastAsia" w:cstheme="majorEastAsia"/>
                <w:color w:val="auto"/>
                <w:spacing w:val="-1"/>
                <w:sz w:val="24"/>
                <w:highlight w:val="none"/>
                <w:shd w:val="clear" w:color="auto" w:fill="FFFFFE"/>
              </w:rPr>
              <w:t>公开招标</w:t>
            </w:r>
          </w:p>
        </w:tc>
      </w:tr>
      <w:tr w14:paraId="1117F87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070" w:type="dxa"/>
            <w:vAlign w:val="center"/>
          </w:tcPr>
          <w:p w14:paraId="052248C4">
            <w:pPr>
              <w:widowControl/>
              <w:kinsoku w:val="0"/>
              <w:autoSpaceDE w:val="0"/>
              <w:autoSpaceDN w:val="0"/>
              <w:adjustRightInd w:val="0"/>
              <w:snapToGrid w:val="0"/>
              <w:spacing w:line="360" w:lineRule="auto"/>
              <w:jc w:val="center"/>
              <w:textAlignment w:val="baseline"/>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8</w:t>
            </w:r>
          </w:p>
        </w:tc>
        <w:tc>
          <w:tcPr>
            <w:tcW w:w="1968" w:type="dxa"/>
            <w:vAlign w:val="center"/>
          </w:tcPr>
          <w:p w14:paraId="3FD7605A">
            <w:pPr>
              <w:widowControl/>
              <w:kinsoku w:val="0"/>
              <w:autoSpaceDE w:val="0"/>
              <w:autoSpaceDN w:val="0"/>
              <w:adjustRightInd w:val="0"/>
              <w:snapToGrid w:val="0"/>
              <w:spacing w:line="360" w:lineRule="auto"/>
              <w:jc w:val="center"/>
              <w:textAlignment w:val="baseline"/>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spacing w:val="-3"/>
                <w:sz w:val="24"/>
                <w:highlight w:val="none"/>
              </w:rPr>
              <w:t>采购内容</w:t>
            </w:r>
          </w:p>
        </w:tc>
        <w:tc>
          <w:tcPr>
            <w:tcW w:w="6531" w:type="dxa"/>
            <w:vAlign w:val="center"/>
          </w:tcPr>
          <w:p w14:paraId="3F282722">
            <w:pPr>
              <w:widowControl/>
              <w:kinsoku w:val="0"/>
              <w:autoSpaceDE w:val="0"/>
              <w:autoSpaceDN w:val="0"/>
              <w:adjustRightInd w:val="0"/>
              <w:snapToGrid w:val="0"/>
              <w:spacing w:line="360" w:lineRule="auto"/>
              <w:textAlignment w:val="baseline"/>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sz w:val="24"/>
                <w:highlight w:val="none"/>
              </w:rPr>
              <w:t>详见“采购需求”</w:t>
            </w:r>
          </w:p>
        </w:tc>
      </w:tr>
      <w:tr w14:paraId="70187E5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070" w:type="dxa"/>
            <w:vAlign w:val="center"/>
          </w:tcPr>
          <w:p w14:paraId="662F0049">
            <w:pPr>
              <w:widowControl/>
              <w:kinsoku w:val="0"/>
              <w:autoSpaceDE w:val="0"/>
              <w:autoSpaceDN w:val="0"/>
              <w:adjustRightInd w:val="0"/>
              <w:snapToGrid w:val="0"/>
              <w:spacing w:line="360" w:lineRule="auto"/>
              <w:jc w:val="center"/>
              <w:textAlignment w:val="baseline"/>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sz w:val="24"/>
                <w:highlight w:val="none"/>
              </w:rPr>
              <w:t>9</w:t>
            </w:r>
          </w:p>
        </w:tc>
        <w:tc>
          <w:tcPr>
            <w:tcW w:w="1968" w:type="dxa"/>
            <w:vAlign w:val="center"/>
          </w:tcPr>
          <w:p w14:paraId="5A7804C0">
            <w:pPr>
              <w:widowControl/>
              <w:kinsoku w:val="0"/>
              <w:autoSpaceDE w:val="0"/>
              <w:autoSpaceDN w:val="0"/>
              <w:adjustRightInd w:val="0"/>
              <w:snapToGrid w:val="0"/>
              <w:spacing w:line="360" w:lineRule="auto"/>
              <w:jc w:val="center"/>
              <w:textAlignment w:val="baseline"/>
              <w:rPr>
                <w:rFonts w:hint="default" w:asciiTheme="majorEastAsia" w:hAnsiTheme="majorEastAsia" w:eastAsiaTheme="majorEastAsia" w:cstheme="majorEastAsia"/>
                <w:color w:val="auto"/>
                <w:highlight w:val="none"/>
                <w:lang w:val="en-US" w:eastAsia="zh-CN"/>
              </w:rPr>
            </w:pPr>
            <w:r>
              <w:rPr>
                <w:rFonts w:hint="eastAsia" w:asciiTheme="majorEastAsia" w:hAnsiTheme="majorEastAsia" w:eastAsiaTheme="majorEastAsia" w:cstheme="majorEastAsia"/>
                <w:color w:val="auto"/>
                <w:spacing w:val="-5"/>
                <w:sz w:val="24"/>
                <w:highlight w:val="none"/>
                <w:lang w:val="en-US" w:eastAsia="zh-CN"/>
              </w:rPr>
              <w:t>服务期</w:t>
            </w:r>
          </w:p>
        </w:tc>
        <w:tc>
          <w:tcPr>
            <w:tcW w:w="6531" w:type="dxa"/>
            <w:vAlign w:val="center"/>
          </w:tcPr>
          <w:p w14:paraId="67882A7E">
            <w:pPr>
              <w:widowControl/>
              <w:kinsoku w:val="0"/>
              <w:autoSpaceDE w:val="0"/>
              <w:autoSpaceDN w:val="0"/>
              <w:adjustRightInd w:val="0"/>
              <w:snapToGrid w:val="0"/>
              <w:spacing w:line="360" w:lineRule="auto"/>
              <w:textAlignment w:val="baseline"/>
              <w:rPr>
                <w:rFonts w:hint="default" w:asciiTheme="majorEastAsia" w:hAnsiTheme="majorEastAsia" w:eastAsiaTheme="majorEastAsia" w:cstheme="majorEastAsia"/>
                <w:color w:val="auto"/>
                <w:highlight w:val="none"/>
                <w:lang w:val="en-US" w:eastAsia="zh-CN"/>
              </w:rPr>
            </w:pPr>
            <w:r>
              <w:rPr>
                <w:rFonts w:hint="eastAsia" w:asciiTheme="majorEastAsia" w:hAnsiTheme="majorEastAsia" w:eastAsiaTheme="majorEastAsia" w:cstheme="majorEastAsia"/>
                <w:color w:val="auto"/>
                <w:sz w:val="24"/>
                <w:highlight w:val="none"/>
                <w:lang w:val="en-US" w:eastAsia="zh-CN"/>
              </w:rPr>
              <w:t>90日历天</w:t>
            </w:r>
          </w:p>
        </w:tc>
      </w:tr>
      <w:tr w14:paraId="7ED1D1A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5" w:hRule="atLeast"/>
          <w:jc w:val="center"/>
        </w:trPr>
        <w:tc>
          <w:tcPr>
            <w:tcW w:w="1070" w:type="dxa"/>
          </w:tcPr>
          <w:p w14:paraId="3E2BA505">
            <w:pPr>
              <w:widowControl/>
              <w:kinsoku w:val="0"/>
              <w:autoSpaceDE w:val="0"/>
              <w:autoSpaceDN w:val="0"/>
              <w:adjustRightInd w:val="0"/>
              <w:snapToGrid w:val="0"/>
              <w:spacing w:line="360" w:lineRule="auto"/>
              <w:jc w:val="center"/>
              <w:textAlignment w:val="baseline"/>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sz w:val="24"/>
                <w:highlight w:val="none"/>
              </w:rPr>
              <w:t>10</w:t>
            </w:r>
          </w:p>
        </w:tc>
        <w:tc>
          <w:tcPr>
            <w:tcW w:w="1968" w:type="dxa"/>
          </w:tcPr>
          <w:p w14:paraId="17469C81">
            <w:pPr>
              <w:widowControl/>
              <w:kinsoku w:val="0"/>
              <w:autoSpaceDE w:val="0"/>
              <w:autoSpaceDN w:val="0"/>
              <w:adjustRightInd w:val="0"/>
              <w:snapToGrid w:val="0"/>
              <w:spacing w:line="360" w:lineRule="auto"/>
              <w:jc w:val="center"/>
              <w:textAlignment w:val="baseline"/>
              <w:rPr>
                <w:rFonts w:asciiTheme="majorEastAsia" w:hAnsiTheme="majorEastAsia" w:eastAsiaTheme="majorEastAsia" w:cstheme="majorEastAsia"/>
                <w:color w:val="auto"/>
                <w:spacing w:val="-5"/>
                <w:highlight w:val="none"/>
              </w:rPr>
            </w:pPr>
            <w:r>
              <w:rPr>
                <w:rFonts w:hint="eastAsia" w:asciiTheme="majorEastAsia" w:hAnsiTheme="majorEastAsia" w:eastAsiaTheme="majorEastAsia" w:cstheme="majorEastAsia"/>
                <w:color w:val="auto"/>
                <w:spacing w:val="-5"/>
                <w:sz w:val="24"/>
                <w:highlight w:val="none"/>
              </w:rPr>
              <w:t>服务地点</w:t>
            </w:r>
          </w:p>
        </w:tc>
        <w:tc>
          <w:tcPr>
            <w:tcW w:w="6531" w:type="dxa"/>
          </w:tcPr>
          <w:p w14:paraId="09455C41">
            <w:pPr>
              <w:widowControl/>
              <w:kinsoku w:val="0"/>
              <w:autoSpaceDE w:val="0"/>
              <w:autoSpaceDN w:val="0"/>
              <w:adjustRightInd w:val="0"/>
              <w:snapToGrid w:val="0"/>
              <w:spacing w:line="360" w:lineRule="auto"/>
              <w:textAlignment w:val="baseline"/>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采购人指定地点</w:t>
            </w:r>
          </w:p>
        </w:tc>
      </w:tr>
      <w:tr w14:paraId="543B859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15" w:hRule="atLeast"/>
          <w:jc w:val="center"/>
        </w:trPr>
        <w:tc>
          <w:tcPr>
            <w:tcW w:w="1070" w:type="dxa"/>
            <w:vAlign w:val="center"/>
          </w:tcPr>
          <w:p w14:paraId="2B515B35">
            <w:pPr>
              <w:widowControl/>
              <w:kinsoku w:val="0"/>
              <w:autoSpaceDE w:val="0"/>
              <w:autoSpaceDN w:val="0"/>
              <w:adjustRightInd w:val="0"/>
              <w:snapToGrid w:val="0"/>
              <w:spacing w:line="360" w:lineRule="auto"/>
              <w:jc w:val="center"/>
              <w:textAlignment w:val="baseline"/>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sz w:val="24"/>
                <w:highlight w:val="none"/>
              </w:rPr>
              <w:t>11</w:t>
            </w:r>
          </w:p>
        </w:tc>
        <w:tc>
          <w:tcPr>
            <w:tcW w:w="1968" w:type="dxa"/>
            <w:vAlign w:val="center"/>
          </w:tcPr>
          <w:p w14:paraId="295A649E">
            <w:pPr>
              <w:widowControl/>
              <w:kinsoku w:val="0"/>
              <w:autoSpaceDE w:val="0"/>
              <w:autoSpaceDN w:val="0"/>
              <w:adjustRightInd w:val="0"/>
              <w:snapToGrid w:val="0"/>
              <w:spacing w:line="360" w:lineRule="auto"/>
              <w:ind w:right="150"/>
              <w:jc w:val="center"/>
              <w:textAlignment w:val="baseline"/>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sz w:val="24"/>
                <w:highlight w:val="none"/>
              </w:rPr>
              <w:t>验收标准、规范</w:t>
            </w:r>
          </w:p>
        </w:tc>
        <w:tc>
          <w:tcPr>
            <w:tcW w:w="6531" w:type="dxa"/>
            <w:vAlign w:val="center"/>
          </w:tcPr>
          <w:p w14:paraId="0CE10102">
            <w:pPr>
              <w:widowControl/>
              <w:kinsoku w:val="0"/>
              <w:autoSpaceDE w:val="0"/>
              <w:autoSpaceDN w:val="0"/>
              <w:adjustRightInd w:val="0"/>
              <w:snapToGrid w:val="0"/>
              <w:spacing w:line="360" w:lineRule="auto"/>
              <w:textAlignment w:val="baseline"/>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sz w:val="24"/>
                <w:highlight w:val="none"/>
              </w:rPr>
              <w:t>符合国家相关标准和行业相关标准；</w:t>
            </w:r>
          </w:p>
        </w:tc>
      </w:tr>
      <w:tr w14:paraId="72C2645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070" w:type="dxa"/>
            <w:vAlign w:val="center"/>
          </w:tcPr>
          <w:p w14:paraId="329B5347">
            <w:pPr>
              <w:widowControl/>
              <w:kinsoku w:val="0"/>
              <w:autoSpaceDE w:val="0"/>
              <w:autoSpaceDN w:val="0"/>
              <w:adjustRightInd w:val="0"/>
              <w:snapToGrid w:val="0"/>
              <w:spacing w:line="360" w:lineRule="auto"/>
              <w:jc w:val="center"/>
              <w:textAlignment w:val="baseline"/>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spacing w:val="-7"/>
                <w:sz w:val="24"/>
                <w:highlight w:val="none"/>
              </w:rPr>
              <w:t>12</w:t>
            </w:r>
          </w:p>
        </w:tc>
        <w:tc>
          <w:tcPr>
            <w:tcW w:w="1968" w:type="dxa"/>
            <w:vAlign w:val="center"/>
          </w:tcPr>
          <w:p w14:paraId="3707A6B3">
            <w:pPr>
              <w:widowControl/>
              <w:kinsoku w:val="0"/>
              <w:autoSpaceDE w:val="0"/>
              <w:autoSpaceDN w:val="0"/>
              <w:adjustRightInd w:val="0"/>
              <w:snapToGrid w:val="0"/>
              <w:spacing w:line="360" w:lineRule="auto"/>
              <w:textAlignment w:val="baseline"/>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付款方式</w:t>
            </w:r>
          </w:p>
        </w:tc>
        <w:tc>
          <w:tcPr>
            <w:tcW w:w="6531" w:type="dxa"/>
          </w:tcPr>
          <w:p w14:paraId="0DCD28E1">
            <w:pPr>
              <w:widowControl/>
              <w:kinsoku w:val="0"/>
              <w:autoSpaceDE w:val="0"/>
              <w:autoSpaceDN w:val="0"/>
              <w:adjustRightInd w:val="0"/>
              <w:snapToGrid w:val="0"/>
              <w:spacing w:line="360" w:lineRule="auto"/>
              <w:textAlignment w:val="baseline"/>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详见第五章 第二节</w:t>
            </w:r>
          </w:p>
        </w:tc>
      </w:tr>
      <w:tr w14:paraId="2266C42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070" w:type="dxa"/>
            <w:vAlign w:val="center"/>
          </w:tcPr>
          <w:p w14:paraId="1D6CF4DB">
            <w:pPr>
              <w:widowControl/>
              <w:kinsoku w:val="0"/>
              <w:autoSpaceDE w:val="0"/>
              <w:autoSpaceDN w:val="0"/>
              <w:adjustRightInd w:val="0"/>
              <w:snapToGrid w:val="0"/>
              <w:spacing w:line="360" w:lineRule="auto"/>
              <w:jc w:val="center"/>
              <w:textAlignment w:val="baseline"/>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spacing w:val="-7"/>
                <w:sz w:val="24"/>
                <w:highlight w:val="none"/>
              </w:rPr>
              <w:t>13</w:t>
            </w:r>
          </w:p>
        </w:tc>
        <w:tc>
          <w:tcPr>
            <w:tcW w:w="1968" w:type="dxa"/>
            <w:vAlign w:val="center"/>
          </w:tcPr>
          <w:p w14:paraId="224342AC">
            <w:pPr>
              <w:widowControl/>
              <w:kinsoku w:val="0"/>
              <w:autoSpaceDE w:val="0"/>
              <w:autoSpaceDN w:val="0"/>
              <w:adjustRightInd w:val="0"/>
              <w:snapToGrid w:val="0"/>
              <w:spacing w:line="360" w:lineRule="auto"/>
              <w:ind w:right="150"/>
              <w:jc w:val="center"/>
              <w:textAlignment w:val="baseline"/>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spacing w:val="-3"/>
                <w:sz w:val="24"/>
                <w:highlight w:val="none"/>
              </w:rPr>
              <w:t>供应商资格要</w:t>
            </w:r>
            <w:r>
              <w:rPr>
                <w:rFonts w:hint="eastAsia" w:asciiTheme="majorEastAsia" w:hAnsiTheme="majorEastAsia" w:eastAsiaTheme="majorEastAsia" w:cstheme="majorEastAsia"/>
                <w:color w:val="auto"/>
                <w:sz w:val="24"/>
                <w:highlight w:val="none"/>
              </w:rPr>
              <w:t>求</w:t>
            </w:r>
          </w:p>
        </w:tc>
        <w:tc>
          <w:tcPr>
            <w:tcW w:w="6531" w:type="dxa"/>
          </w:tcPr>
          <w:p w14:paraId="069CFE0A">
            <w:pPr>
              <w:widowControl/>
              <w:kinsoku w:val="0"/>
              <w:autoSpaceDE w:val="0"/>
              <w:autoSpaceDN w:val="0"/>
              <w:adjustRightInd w:val="0"/>
              <w:snapToGrid w:val="0"/>
              <w:spacing w:line="360" w:lineRule="auto"/>
              <w:textAlignment w:val="baseline"/>
              <w:rPr>
                <w:rFonts w:ascii="宋体" w:hAnsi="宋体" w:cs="宋体"/>
                <w:spacing w:val="-1"/>
                <w:shd w:val="clear" w:color="auto" w:fill="FFFFFE"/>
              </w:rPr>
            </w:pPr>
            <w:r>
              <w:rPr>
                <w:rFonts w:hint="eastAsia" w:ascii="宋体" w:hAnsi="宋体" w:cs="宋体"/>
                <w:spacing w:val="-1"/>
                <w:sz w:val="24"/>
                <w:shd w:val="clear" w:color="auto" w:fill="FFFFFE"/>
              </w:rPr>
              <w:t>1、符合政府采购法第二十二条规定，提供政府采购法实施条例第十七条规定资料。</w:t>
            </w:r>
          </w:p>
          <w:p w14:paraId="4FCA7B81">
            <w:pPr>
              <w:widowControl/>
              <w:kinsoku w:val="0"/>
              <w:autoSpaceDE w:val="0"/>
              <w:autoSpaceDN w:val="0"/>
              <w:adjustRightInd w:val="0"/>
              <w:snapToGrid w:val="0"/>
              <w:spacing w:line="360" w:lineRule="auto"/>
              <w:ind w:firstLine="476"/>
              <w:textAlignment w:val="baseline"/>
              <w:rPr>
                <w:rFonts w:ascii="宋体" w:hAnsi="宋体" w:cs="宋体"/>
                <w:spacing w:val="-1"/>
                <w:shd w:val="clear" w:color="auto" w:fill="FFFFFE"/>
              </w:rPr>
            </w:pPr>
            <w:r>
              <w:rPr>
                <w:rFonts w:hint="eastAsia" w:ascii="宋体" w:hAnsi="宋体" w:cs="宋体"/>
                <w:spacing w:val="-1"/>
                <w:sz w:val="24"/>
                <w:shd w:val="clear" w:color="auto" w:fill="FFFFFE"/>
              </w:rPr>
              <w:t>①具有独立承担民事责任的能力：提供法人或其他组织的营业执照等证明文件，或自然人身份证明；</w:t>
            </w:r>
          </w:p>
          <w:p w14:paraId="25F0F4B5">
            <w:pPr>
              <w:widowControl/>
              <w:kinsoku w:val="0"/>
              <w:autoSpaceDE w:val="0"/>
              <w:autoSpaceDN w:val="0"/>
              <w:adjustRightInd w:val="0"/>
              <w:snapToGrid w:val="0"/>
              <w:spacing w:line="360" w:lineRule="auto"/>
              <w:ind w:firstLine="476"/>
              <w:textAlignment w:val="baseline"/>
              <w:rPr>
                <w:rFonts w:ascii="宋体" w:hAnsi="宋体" w:cs="宋体"/>
                <w:sz w:val="24"/>
                <w:shd w:val="clear" w:color="auto" w:fill="FFFFFF"/>
              </w:rPr>
            </w:pPr>
            <w:r>
              <w:rPr>
                <w:rFonts w:hint="eastAsia" w:ascii="宋体" w:hAnsi="宋体" w:cs="宋体"/>
                <w:spacing w:val="-1"/>
                <w:sz w:val="24"/>
                <w:shd w:val="clear" w:color="auto" w:fill="FFFFFE"/>
              </w:rPr>
              <w:t>②</w:t>
            </w:r>
            <w:r>
              <w:rPr>
                <w:rFonts w:hint="eastAsia" w:ascii="宋体" w:hAnsi="宋体" w:cs="宋体"/>
                <w:sz w:val="24"/>
                <w:shd w:val="clear" w:color="auto" w:fill="FFFFFF"/>
              </w:rPr>
              <w:t>具有良好的商业信誉和健全的财务会计制度：具有良好的商业信誉和健全的财务会计制度：提供2024年度经会计师事务所出具的审计报告或基本开户银行出具的资信证明。</w:t>
            </w:r>
          </w:p>
          <w:p w14:paraId="27E88C5C">
            <w:pPr>
              <w:widowControl/>
              <w:kinsoku w:val="0"/>
              <w:autoSpaceDE w:val="0"/>
              <w:autoSpaceDN w:val="0"/>
              <w:adjustRightInd w:val="0"/>
              <w:snapToGrid w:val="0"/>
              <w:spacing w:line="360" w:lineRule="auto"/>
              <w:ind w:firstLine="476"/>
              <w:textAlignment w:val="baseline"/>
              <w:rPr>
                <w:rFonts w:ascii="宋体" w:hAnsi="宋体" w:cs="宋体"/>
                <w:spacing w:val="-1"/>
                <w:shd w:val="clear" w:color="auto" w:fill="FFFFFE"/>
              </w:rPr>
            </w:pPr>
            <w:r>
              <w:rPr>
                <w:rFonts w:hint="eastAsia" w:ascii="宋体" w:hAnsi="宋体" w:cs="宋体"/>
                <w:spacing w:val="-1"/>
                <w:sz w:val="24"/>
                <w:shd w:val="clear" w:color="auto" w:fill="FFFFFE"/>
              </w:rPr>
              <w:t>③具有履行合同所必需的设备和专业技术能力：提供具备履行合同所必需的设备和专业技术能力的证明材料（供应商自行承诺，格式自拟）；</w:t>
            </w:r>
          </w:p>
          <w:p w14:paraId="1F5D7FA3">
            <w:pPr>
              <w:widowControl/>
              <w:kinsoku w:val="0"/>
              <w:autoSpaceDE w:val="0"/>
              <w:autoSpaceDN w:val="0"/>
              <w:adjustRightInd w:val="0"/>
              <w:snapToGrid w:val="0"/>
              <w:spacing w:line="360" w:lineRule="auto"/>
              <w:ind w:firstLine="476"/>
              <w:textAlignment w:val="baseline"/>
              <w:rPr>
                <w:rFonts w:ascii="Arial" w:hAnsi="Arial" w:cs="Arial"/>
                <w:b/>
                <w:bCs/>
                <w:kern w:val="0"/>
                <w:sz w:val="24"/>
                <w:szCs w:val="18"/>
              </w:rPr>
            </w:pPr>
            <w:r>
              <w:rPr>
                <w:rFonts w:hint="eastAsia" w:ascii="宋体" w:hAnsi="宋体" w:cs="宋体"/>
                <w:spacing w:val="-1"/>
                <w:sz w:val="24"/>
                <w:shd w:val="clear" w:color="auto" w:fill="FFFFFE"/>
              </w:rPr>
              <w:t>④具有依法缴纳税收和社会保障资金的良好记录：</w:t>
            </w:r>
            <w:r>
              <w:rPr>
                <w:rFonts w:hint="eastAsia" w:ascii="Arial" w:hAnsi="Arial" w:cs="Arial"/>
                <w:b/>
                <w:bCs/>
                <w:kern w:val="0"/>
                <w:sz w:val="24"/>
                <w:szCs w:val="18"/>
              </w:rPr>
              <w:t>提供2025年任意1个月依法缴纳税收和社会保障资金的有效证明材料；</w:t>
            </w:r>
          </w:p>
          <w:p w14:paraId="60F65E5D">
            <w:pPr>
              <w:widowControl/>
              <w:kinsoku w:val="0"/>
              <w:autoSpaceDE w:val="0"/>
              <w:autoSpaceDN w:val="0"/>
              <w:adjustRightInd w:val="0"/>
              <w:snapToGrid w:val="0"/>
              <w:spacing w:line="360" w:lineRule="auto"/>
              <w:ind w:firstLine="476"/>
              <w:textAlignment w:val="baseline"/>
              <w:rPr>
                <w:rFonts w:ascii="宋体" w:hAnsi="宋体" w:cs="宋体"/>
                <w:spacing w:val="-1"/>
                <w:shd w:val="clear" w:color="auto" w:fill="FFFFFE"/>
              </w:rPr>
            </w:pPr>
            <w:r>
              <w:rPr>
                <w:rFonts w:hint="eastAsia" w:ascii="宋体" w:hAnsi="宋体" w:cs="宋体"/>
                <w:spacing w:val="-1"/>
                <w:sz w:val="24"/>
                <w:shd w:val="clear" w:color="auto" w:fill="FFFFFE"/>
              </w:rPr>
              <w:t>⑤参加本次政府采购活动前三年内，在经营活动中没有违法违规记录：提供参加政府采购活动前3年内在经营活动中没有重大违法记录的书面声明（格式文件详见投标文件范本）；</w:t>
            </w:r>
          </w:p>
          <w:p w14:paraId="668F00EE">
            <w:pPr>
              <w:widowControl/>
              <w:kinsoku w:val="0"/>
              <w:autoSpaceDE w:val="0"/>
              <w:autoSpaceDN w:val="0"/>
              <w:adjustRightInd w:val="0"/>
              <w:snapToGrid w:val="0"/>
              <w:spacing w:line="360" w:lineRule="auto"/>
              <w:ind w:firstLine="476"/>
              <w:textAlignment w:val="baseline"/>
              <w:rPr>
                <w:rFonts w:ascii="宋体" w:hAnsi="宋体" w:cs="宋体"/>
                <w:spacing w:val="-1"/>
                <w:sz w:val="24"/>
                <w:shd w:val="clear" w:color="auto" w:fill="FFFFFE"/>
              </w:rPr>
            </w:pPr>
            <w:r>
              <w:rPr>
                <w:rFonts w:hint="eastAsia" w:ascii="宋体" w:hAnsi="宋体" w:cs="宋体"/>
                <w:spacing w:val="-1"/>
                <w:sz w:val="24"/>
                <w:shd w:val="clear" w:color="auto" w:fill="FFFFFE"/>
              </w:rPr>
              <w:t>⑥法律、行政法规规定的其他条件：供应商信用信息：对列入</w:t>
            </w:r>
            <w:r>
              <w:rPr>
                <w:rFonts w:hint="eastAsia" w:ascii="Arial" w:hAnsi="Arial" w:cs="Arial"/>
                <w:kern w:val="0"/>
                <w:sz w:val="24"/>
                <w:szCs w:val="18"/>
              </w:rPr>
              <w:t>失信被执行人名单、重大税收违法失信主体、政府采购严重违法失信行为记录名单</w:t>
            </w:r>
            <w:r>
              <w:rPr>
                <w:rFonts w:hint="eastAsia" w:ascii="宋体" w:hAnsi="宋体" w:cs="宋体"/>
                <w:spacing w:val="-1"/>
                <w:sz w:val="24"/>
                <w:shd w:val="clear" w:color="auto" w:fill="FFFFFE"/>
              </w:rPr>
              <w:t>且还在执行期的供应商，拒绝其参与政府采购活动。信用记录查询渠道为“信用中国”网站（www.creditchina.gov.cn）及中国政府采购网（www.ccgp.gov.cn），供应商需提供查询记录截图并加盖公章，作为信用信息查询记录和证据编入投标文件。</w:t>
            </w:r>
          </w:p>
          <w:p w14:paraId="3B6A2C5C">
            <w:pPr>
              <w:widowControl/>
              <w:kinsoku w:val="0"/>
              <w:autoSpaceDE w:val="0"/>
              <w:autoSpaceDN w:val="0"/>
              <w:adjustRightInd w:val="0"/>
              <w:snapToGrid w:val="0"/>
              <w:spacing w:line="360" w:lineRule="auto"/>
              <w:ind w:firstLine="476"/>
              <w:textAlignment w:val="baseline"/>
              <w:rPr>
                <w:rFonts w:asciiTheme="majorEastAsia" w:hAnsiTheme="majorEastAsia" w:eastAsiaTheme="majorEastAsia" w:cstheme="majorEastAsia"/>
                <w:color w:val="auto"/>
                <w:spacing w:val="-1"/>
                <w:highlight w:val="none"/>
                <w:shd w:val="clear" w:color="auto" w:fill="FFFFFE"/>
              </w:rPr>
            </w:pPr>
            <w:r>
              <w:rPr>
                <w:rFonts w:hint="eastAsia" w:ascii="宋体" w:hAnsi="宋体" w:cs="宋体"/>
                <w:spacing w:val="-1"/>
                <w:sz w:val="24"/>
                <w:shd w:val="clear" w:color="auto" w:fill="FFFFFE"/>
              </w:rPr>
              <w:t>本项目所需特殊行业资质或要求：无</w:t>
            </w:r>
          </w:p>
        </w:tc>
      </w:tr>
      <w:tr w14:paraId="153E533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54" w:hRule="atLeast"/>
          <w:jc w:val="center"/>
        </w:trPr>
        <w:tc>
          <w:tcPr>
            <w:tcW w:w="1070" w:type="dxa"/>
            <w:vAlign w:val="center"/>
          </w:tcPr>
          <w:p w14:paraId="3DBFF1DB">
            <w:pPr>
              <w:pStyle w:val="8"/>
              <w:spacing w:line="360" w:lineRule="auto"/>
              <w:jc w:val="center"/>
              <w:rPr>
                <w:rFonts w:asciiTheme="majorEastAsia" w:hAnsiTheme="majorEastAsia" w:eastAsiaTheme="majorEastAsia" w:cstheme="majorEastAsia"/>
                <w:snapToGrid w:val="0"/>
                <w:color w:val="auto"/>
                <w:kern w:val="0"/>
                <w:highlight w:val="none"/>
              </w:rPr>
            </w:pPr>
            <w:r>
              <w:rPr>
                <w:rFonts w:hint="eastAsia" w:asciiTheme="majorEastAsia" w:hAnsiTheme="majorEastAsia" w:eastAsiaTheme="majorEastAsia" w:cstheme="majorEastAsia"/>
                <w:snapToGrid w:val="0"/>
                <w:color w:val="auto"/>
                <w:kern w:val="0"/>
                <w:sz w:val="24"/>
                <w:highlight w:val="none"/>
              </w:rPr>
              <w:t>14</w:t>
            </w:r>
          </w:p>
        </w:tc>
        <w:tc>
          <w:tcPr>
            <w:tcW w:w="1968" w:type="dxa"/>
            <w:vAlign w:val="center"/>
          </w:tcPr>
          <w:p w14:paraId="167680E3">
            <w:pPr>
              <w:pStyle w:val="8"/>
              <w:spacing w:line="360" w:lineRule="auto"/>
              <w:jc w:val="center"/>
              <w:rPr>
                <w:rFonts w:asciiTheme="majorEastAsia" w:hAnsiTheme="majorEastAsia" w:eastAsiaTheme="majorEastAsia" w:cstheme="majorEastAsia"/>
                <w:snapToGrid w:val="0"/>
                <w:color w:val="auto"/>
                <w:kern w:val="0"/>
                <w:highlight w:val="none"/>
              </w:rPr>
            </w:pPr>
            <w:r>
              <w:rPr>
                <w:rFonts w:hint="eastAsia" w:asciiTheme="majorEastAsia" w:hAnsiTheme="majorEastAsia" w:eastAsiaTheme="majorEastAsia" w:cstheme="majorEastAsia"/>
                <w:snapToGrid w:val="0"/>
                <w:color w:val="auto"/>
                <w:kern w:val="0"/>
                <w:sz w:val="24"/>
                <w:highlight w:val="none"/>
              </w:rPr>
              <w:t>报价要求</w:t>
            </w:r>
          </w:p>
        </w:tc>
        <w:tc>
          <w:tcPr>
            <w:tcW w:w="6531" w:type="dxa"/>
            <w:vAlign w:val="center"/>
          </w:tcPr>
          <w:p w14:paraId="5CAB5E91">
            <w:pPr>
              <w:pStyle w:val="8"/>
              <w:spacing w:line="360" w:lineRule="auto"/>
              <w:rPr>
                <w:rFonts w:asciiTheme="majorEastAsia" w:hAnsiTheme="majorEastAsia" w:eastAsiaTheme="majorEastAsia" w:cstheme="majorEastAsia"/>
                <w:snapToGrid w:val="0"/>
                <w:color w:val="auto"/>
                <w:spacing w:val="-1"/>
                <w:kern w:val="0"/>
                <w:sz w:val="24"/>
                <w:highlight w:val="none"/>
                <w:shd w:val="clear" w:color="auto" w:fill="FFFFFE"/>
              </w:rPr>
            </w:pPr>
            <w:r>
              <w:rPr>
                <w:rFonts w:hint="eastAsia" w:asciiTheme="majorEastAsia" w:hAnsiTheme="majorEastAsia" w:eastAsiaTheme="majorEastAsia" w:cstheme="majorEastAsia"/>
                <w:snapToGrid w:val="0"/>
                <w:color w:val="auto"/>
                <w:spacing w:val="-1"/>
                <w:kern w:val="0"/>
                <w:sz w:val="24"/>
                <w:highlight w:val="none"/>
                <w:shd w:val="clear" w:color="auto" w:fill="FFFFFE"/>
              </w:rPr>
              <w:t>1．投标报价：即包干价（含税）。</w:t>
            </w:r>
          </w:p>
          <w:p w14:paraId="404DB6BF">
            <w:pPr>
              <w:pStyle w:val="8"/>
              <w:rPr>
                <w:rFonts w:asciiTheme="majorEastAsia" w:hAnsiTheme="majorEastAsia" w:eastAsiaTheme="majorEastAsia" w:cstheme="majorEastAsia"/>
                <w:snapToGrid w:val="0"/>
                <w:color w:val="auto"/>
                <w:spacing w:val="-1"/>
                <w:kern w:val="0"/>
                <w:sz w:val="24"/>
                <w:highlight w:val="none"/>
                <w:shd w:val="clear" w:color="auto" w:fill="FFFFFE"/>
              </w:rPr>
            </w:pPr>
            <w:r>
              <w:rPr>
                <w:rFonts w:hint="eastAsia" w:asciiTheme="majorEastAsia" w:hAnsiTheme="majorEastAsia" w:eastAsiaTheme="majorEastAsia" w:cstheme="majorEastAsia"/>
                <w:snapToGrid w:val="0"/>
                <w:color w:val="auto"/>
                <w:spacing w:val="-1"/>
                <w:kern w:val="0"/>
                <w:sz w:val="24"/>
                <w:highlight w:val="none"/>
                <w:shd w:val="clear" w:color="auto" w:fill="FFFFFE"/>
              </w:rPr>
              <w:t>2．投标供应商报价应包括：专利费、人力资源费、</w:t>
            </w:r>
            <w:r>
              <w:rPr>
                <w:rFonts w:hint="eastAsia" w:asciiTheme="majorEastAsia" w:hAnsiTheme="majorEastAsia" w:eastAsiaTheme="majorEastAsia" w:cstheme="majorEastAsia"/>
                <w:snapToGrid w:val="0"/>
                <w:color w:val="auto"/>
                <w:spacing w:val="-1"/>
                <w:kern w:val="0"/>
                <w:sz w:val="24"/>
                <w:highlight w:val="none"/>
                <w:shd w:val="clear" w:color="auto" w:fill="FFFFFE"/>
                <w:lang w:val="en-US" w:eastAsia="zh-CN"/>
              </w:rPr>
              <w:t>设备费、</w:t>
            </w:r>
            <w:r>
              <w:rPr>
                <w:rFonts w:hint="eastAsia" w:asciiTheme="majorEastAsia" w:hAnsiTheme="majorEastAsia" w:eastAsiaTheme="majorEastAsia" w:cstheme="majorEastAsia"/>
                <w:snapToGrid w:val="0"/>
                <w:color w:val="auto"/>
                <w:spacing w:val="-1"/>
                <w:kern w:val="0"/>
                <w:sz w:val="24"/>
                <w:highlight w:val="none"/>
                <w:shd w:val="clear" w:color="auto" w:fill="FFFFFE"/>
              </w:rPr>
              <w:t>调研费、专用工具价、培训费、税费等一切成本费用，即包干价。</w:t>
            </w:r>
          </w:p>
          <w:p w14:paraId="6025F7CE">
            <w:pPr>
              <w:pStyle w:val="8"/>
              <w:spacing w:line="360" w:lineRule="auto"/>
              <w:rPr>
                <w:rFonts w:asciiTheme="majorEastAsia" w:hAnsiTheme="majorEastAsia" w:eastAsiaTheme="majorEastAsia" w:cstheme="majorEastAsia"/>
                <w:snapToGrid w:val="0"/>
                <w:color w:val="auto"/>
                <w:spacing w:val="-1"/>
                <w:kern w:val="0"/>
                <w:highlight w:val="none"/>
                <w:shd w:val="clear" w:color="auto" w:fill="FFFFFE"/>
              </w:rPr>
            </w:pPr>
            <w:r>
              <w:rPr>
                <w:rFonts w:hint="eastAsia" w:asciiTheme="majorEastAsia" w:hAnsiTheme="majorEastAsia" w:eastAsiaTheme="majorEastAsia" w:cstheme="majorEastAsia"/>
                <w:snapToGrid w:val="0"/>
                <w:color w:val="auto"/>
                <w:spacing w:val="-1"/>
                <w:kern w:val="0"/>
                <w:sz w:val="24"/>
                <w:highlight w:val="none"/>
                <w:shd w:val="clear" w:color="auto" w:fill="FFFFFE"/>
              </w:rPr>
              <w:t>3．投标货币：人民币报价。</w:t>
            </w:r>
          </w:p>
        </w:tc>
      </w:tr>
      <w:tr w14:paraId="549AD0B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070" w:type="dxa"/>
            <w:vAlign w:val="center"/>
          </w:tcPr>
          <w:p w14:paraId="13E073FF">
            <w:pPr>
              <w:pStyle w:val="8"/>
              <w:spacing w:line="360" w:lineRule="auto"/>
              <w:jc w:val="center"/>
              <w:rPr>
                <w:rFonts w:asciiTheme="majorEastAsia" w:hAnsiTheme="majorEastAsia" w:eastAsiaTheme="majorEastAsia" w:cstheme="majorEastAsia"/>
                <w:snapToGrid w:val="0"/>
                <w:color w:val="auto"/>
                <w:kern w:val="0"/>
                <w:highlight w:val="none"/>
              </w:rPr>
            </w:pPr>
            <w:r>
              <w:rPr>
                <w:rFonts w:hint="eastAsia" w:asciiTheme="majorEastAsia" w:hAnsiTheme="majorEastAsia" w:eastAsiaTheme="majorEastAsia" w:cstheme="majorEastAsia"/>
                <w:snapToGrid w:val="0"/>
                <w:color w:val="auto"/>
                <w:kern w:val="0"/>
                <w:sz w:val="24"/>
                <w:highlight w:val="none"/>
              </w:rPr>
              <w:t>15</w:t>
            </w:r>
          </w:p>
        </w:tc>
        <w:tc>
          <w:tcPr>
            <w:tcW w:w="1968" w:type="dxa"/>
            <w:vAlign w:val="center"/>
          </w:tcPr>
          <w:p w14:paraId="4704539D">
            <w:pPr>
              <w:pStyle w:val="8"/>
              <w:spacing w:line="360" w:lineRule="auto"/>
              <w:jc w:val="center"/>
              <w:rPr>
                <w:rFonts w:asciiTheme="majorEastAsia" w:hAnsiTheme="majorEastAsia" w:eastAsiaTheme="majorEastAsia" w:cstheme="majorEastAsia"/>
                <w:snapToGrid w:val="0"/>
                <w:color w:val="auto"/>
                <w:kern w:val="0"/>
                <w:highlight w:val="none"/>
              </w:rPr>
            </w:pPr>
            <w:r>
              <w:rPr>
                <w:rFonts w:hint="eastAsia" w:asciiTheme="majorEastAsia" w:hAnsiTheme="majorEastAsia" w:eastAsiaTheme="majorEastAsia" w:cstheme="majorEastAsia"/>
                <w:color w:val="auto"/>
                <w:sz w:val="24"/>
                <w:highlight w:val="none"/>
              </w:rPr>
              <w:t>投标保证金</w:t>
            </w:r>
          </w:p>
        </w:tc>
        <w:tc>
          <w:tcPr>
            <w:tcW w:w="6531" w:type="dxa"/>
          </w:tcPr>
          <w:p w14:paraId="739DF28D">
            <w:pPr>
              <w:pStyle w:val="8"/>
              <w:rPr>
                <w:rFonts w:hint="eastAsia" w:asciiTheme="majorEastAsia" w:hAnsiTheme="majorEastAsia" w:eastAsiaTheme="majorEastAsia" w:cstheme="majorEastAsia"/>
                <w:snapToGrid w:val="0"/>
                <w:color w:val="auto"/>
                <w:spacing w:val="-1"/>
                <w:kern w:val="0"/>
                <w:sz w:val="24"/>
                <w:highlight w:val="none"/>
                <w:shd w:val="clear" w:color="auto" w:fill="FFFFFE"/>
              </w:rPr>
            </w:pPr>
            <w:r>
              <w:rPr>
                <w:rFonts w:hint="eastAsia" w:asciiTheme="majorEastAsia" w:hAnsiTheme="majorEastAsia" w:eastAsiaTheme="majorEastAsia" w:cstheme="majorEastAsia"/>
                <w:snapToGrid w:val="0"/>
                <w:color w:val="auto"/>
                <w:spacing w:val="-1"/>
                <w:kern w:val="0"/>
                <w:sz w:val="24"/>
                <w:highlight w:val="none"/>
                <w:shd w:val="clear" w:color="auto" w:fill="FFFFFE"/>
              </w:rPr>
              <w:t>1、投标保证金（元）：10000.00。</w:t>
            </w:r>
          </w:p>
          <w:p w14:paraId="43C172C9">
            <w:pPr>
              <w:pStyle w:val="8"/>
              <w:rPr>
                <w:rFonts w:hint="eastAsia" w:asciiTheme="majorEastAsia" w:hAnsiTheme="majorEastAsia" w:eastAsiaTheme="majorEastAsia" w:cstheme="majorEastAsia"/>
                <w:snapToGrid w:val="0"/>
                <w:color w:val="auto"/>
                <w:spacing w:val="-1"/>
                <w:kern w:val="0"/>
                <w:sz w:val="24"/>
                <w:highlight w:val="none"/>
                <w:shd w:val="clear" w:color="auto" w:fill="FFFFFE"/>
              </w:rPr>
            </w:pPr>
            <w:r>
              <w:rPr>
                <w:rFonts w:hint="eastAsia" w:asciiTheme="majorEastAsia" w:hAnsiTheme="majorEastAsia" w:eastAsiaTheme="majorEastAsia" w:cstheme="majorEastAsia"/>
                <w:snapToGrid w:val="0"/>
                <w:color w:val="auto"/>
                <w:spacing w:val="-1"/>
                <w:kern w:val="0"/>
                <w:sz w:val="24"/>
                <w:highlight w:val="none"/>
                <w:shd w:val="clear" w:color="auto" w:fill="FFFFFE"/>
              </w:rPr>
              <w:t>2、投标保证金交纳时间:2025年 07 月 22 日 00:00分</w:t>
            </w:r>
          </w:p>
          <w:p w14:paraId="73AB0DAB">
            <w:pPr>
              <w:pStyle w:val="8"/>
              <w:rPr>
                <w:rFonts w:hint="eastAsia" w:asciiTheme="majorEastAsia" w:hAnsiTheme="majorEastAsia" w:eastAsiaTheme="majorEastAsia" w:cstheme="majorEastAsia"/>
                <w:snapToGrid w:val="0"/>
                <w:color w:val="auto"/>
                <w:spacing w:val="-1"/>
                <w:kern w:val="0"/>
                <w:sz w:val="24"/>
                <w:highlight w:val="none"/>
                <w:shd w:val="clear" w:color="auto" w:fill="FFFFFE"/>
              </w:rPr>
            </w:pPr>
            <w:r>
              <w:rPr>
                <w:rFonts w:hint="eastAsia" w:asciiTheme="majorEastAsia" w:hAnsiTheme="majorEastAsia" w:eastAsiaTheme="majorEastAsia" w:cstheme="majorEastAsia"/>
                <w:snapToGrid w:val="0"/>
                <w:color w:val="auto"/>
                <w:spacing w:val="-1"/>
                <w:kern w:val="0"/>
                <w:sz w:val="24"/>
                <w:highlight w:val="none"/>
                <w:shd w:val="clear" w:color="auto" w:fill="FFFFFE"/>
              </w:rPr>
              <w:t>至2025年 08 月 13 日09:30分前</w:t>
            </w:r>
          </w:p>
          <w:p w14:paraId="337EF1CE">
            <w:pPr>
              <w:pStyle w:val="8"/>
              <w:rPr>
                <w:rFonts w:hint="eastAsia" w:asciiTheme="majorEastAsia" w:hAnsiTheme="majorEastAsia" w:eastAsiaTheme="majorEastAsia" w:cstheme="majorEastAsia"/>
                <w:snapToGrid w:val="0"/>
                <w:color w:val="auto"/>
                <w:spacing w:val="-1"/>
                <w:kern w:val="0"/>
                <w:sz w:val="24"/>
                <w:highlight w:val="none"/>
                <w:shd w:val="clear" w:color="auto" w:fill="FFFFFE"/>
              </w:rPr>
            </w:pPr>
            <w:r>
              <w:rPr>
                <w:rFonts w:hint="eastAsia" w:asciiTheme="majorEastAsia" w:hAnsiTheme="majorEastAsia" w:eastAsiaTheme="majorEastAsia" w:cstheme="majorEastAsia"/>
                <w:snapToGrid w:val="0"/>
                <w:color w:val="auto"/>
                <w:spacing w:val="-1"/>
                <w:kern w:val="0"/>
                <w:sz w:val="24"/>
                <w:highlight w:val="none"/>
                <w:shd w:val="clear" w:color="auto" w:fill="FFFFFE"/>
              </w:rPr>
              <w:t>3、投标保证金交纳方式:转账汇入/电子保函</w:t>
            </w:r>
          </w:p>
          <w:p w14:paraId="64ABC66B">
            <w:pPr>
              <w:pStyle w:val="8"/>
              <w:rPr>
                <w:rFonts w:hint="eastAsia" w:asciiTheme="majorEastAsia" w:hAnsiTheme="majorEastAsia" w:eastAsiaTheme="majorEastAsia" w:cstheme="majorEastAsia"/>
                <w:snapToGrid w:val="0"/>
                <w:color w:val="auto"/>
                <w:spacing w:val="-1"/>
                <w:kern w:val="0"/>
                <w:sz w:val="24"/>
                <w:highlight w:val="none"/>
                <w:shd w:val="clear" w:color="auto" w:fill="FFFFFE"/>
              </w:rPr>
            </w:pPr>
            <w:r>
              <w:rPr>
                <w:rFonts w:hint="eastAsia" w:asciiTheme="majorEastAsia" w:hAnsiTheme="majorEastAsia" w:eastAsiaTheme="majorEastAsia" w:cstheme="majorEastAsia"/>
                <w:snapToGrid w:val="0"/>
                <w:color w:val="auto"/>
                <w:spacing w:val="-1"/>
                <w:kern w:val="0"/>
                <w:sz w:val="24"/>
                <w:highlight w:val="none"/>
                <w:shd w:val="clear" w:color="auto" w:fill="FFFFFE"/>
              </w:rPr>
              <w:t>注意:①投标保证金必须从黔南州公共资源交易中心诚信库基本信息中基本账户交纳，交纳成功后自行打印保证金收据；不按规定从供应商基本账户交纳投标保证金的，造成保证金管理系统不能识别不能打印保证金收据，由此产生的后果自行承担。具体操作详见黔南州公共资源交易</w:t>
            </w:r>
          </w:p>
          <w:p w14:paraId="5BA7CB6E">
            <w:pPr>
              <w:pStyle w:val="8"/>
              <w:rPr>
                <w:rFonts w:hint="eastAsia" w:asciiTheme="majorEastAsia" w:hAnsiTheme="majorEastAsia" w:eastAsiaTheme="majorEastAsia" w:cstheme="majorEastAsia"/>
                <w:snapToGrid w:val="0"/>
                <w:color w:val="auto"/>
                <w:spacing w:val="-1"/>
                <w:kern w:val="0"/>
                <w:sz w:val="24"/>
                <w:highlight w:val="none"/>
                <w:shd w:val="clear" w:color="auto" w:fill="FFFFFE"/>
              </w:rPr>
            </w:pPr>
            <w:r>
              <w:rPr>
                <w:rFonts w:hint="eastAsia" w:asciiTheme="majorEastAsia" w:hAnsiTheme="majorEastAsia" w:eastAsiaTheme="majorEastAsia" w:cstheme="majorEastAsia"/>
                <w:snapToGrid w:val="0"/>
                <w:color w:val="auto"/>
                <w:spacing w:val="-1"/>
                <w:kern w:val="0"/>
                <w:sz w:val="24"/>
                <w:highlight w:val="none"/>
                <w:shd w:val="clear" w:color="auto" w:fill="FFFFFE"/>
              </w:rPr>
              <w:t>中心信息化平台(http://ggzy.qiannan.gov.cn/)→下载</w:t>
            </w:r>
          </w:p>
          <w:p w14:paraId="090FB4FC">
            <w:pPr>
              <w:pStyle w:val="8"/>
              <w:rPr>
                <w:rFonts w:hint="eastAsia" w:asciiTheme="majorEastAsia" w:hAnsiTheme="majorEastAsia" w:eastAsiaTheme="majorEastAsia" w:cstheme="majorEastAsia"/>
                <w:snapToGrid w:val="0"/>
                <w:color w:val="auto"/>
                <w:spacing w:val="-1"/>
                <w:kern w:val="0"/>
                <w:sz w:val="24"/>
                <w:highlight w:val="none"/>
                <w:shd w:val="clear" w:color="auto" w:fill="FFFFFE"/>
              </w:rPr>
            </w:pPr>
            <w:r>
              <w:rPr>
                <w:rFonts w:hint="eastAsia" w:asciiTheme="majorEastAsia" w:hAnsiTheme="majorEastAsia" w:eastAsiaTheme="majorEastAsia" w:cstheme="majorEastAsia"/>
                <w:snapToGrid w:val="0"/>
                <w:color w:val="auto"/>
                <w:spacing w:val="-1"/>
                <w:kern w:val="0"/>
                <w:sz w:val="24"/>
                <w:highlight w:val="none"/>
                <w:shd w:val="clear" w:color="auto" w:fill="FFFFFE"/>
              </w:rPr>
              <w:t>中心→虚拟子账号保证金运行流程。交纳成功后自行打印保证金收据，保证金收据作为响应文件的组成部分。</w:t>
            </w:r>
          </w:p>
          <w:p w14:paraId="2E0D2DAA">
            <w:pPr>
              <w:pStyle w:val="8"/>
              <w:rPr>
                <w:rFonts w:hint="eastAsia" w:asciiTheme="majorEastAsia" w:hAnsiTheme="majorEastAsia" w:eastAsiaTheme="majorEastAsia" w:cstheme="majorEastAsia"/>
                <w:snapToGrid w:val="0"/>
                <w:color w:val="auto"/>
                <w:spacing w:val="-1"/>
                <w:kern w:val="0"/>
                <w:sz w:val="24"/>
                <w:highlight w:val="none"/>
                <w:shd w:val="clear" w:color="auto" w:fill="FFFFFE"/>
              </w:rPr>
            </w:pPr>
            <w:r>
              <w:rPr>
                <w:rFonts w:hint="eastAsia" w:asciiTheme="majorEastAsia" w:hAnsiTheme="majorEastAsia" w:eastAsiaTheme="majorEastAsia" w:cstheme="majorEastAsia"/>
                <w:snapToGrid w:val="0"/>
                <w:color w:val="auto"/>
                <w:spacing w:val="-1"/>
                <w:kern w:val="0"/>
                <w:sz w:val="24"/>
                <w:highlight w:val="none"/>
                <w:shd w:val="clear" w:color="auto" w:fill="FFFFFE"/>
              </w:rPr>
              <w:t>②通过金融服务平台开具电子保函的，开具保函完成后自行下载打印的“投标保证金保险单”或“电子投标保函凭证”作为交纳保证金的依据。③保证金账号由投标人（供应商）在完成填写投标信息并下载文件后在交易系统自行获取（23 位的虚拟子账号，每个项目、各投标人均不相同）。</w:t>
            </w:r>
          </w:p>
          <w:p w14:paraId="6E2D867D">
            <w:pPr>
              <w:pStyle w:val="8"/>
              <w:rPr>
                <w:rFonts w:hint="eastAsia" w:asciiTheme="majorEastAsia" w:hAnsiTheme="majorEastAsia" w:eastAsiaTheme="majorEastAsia" w:cstheme="majorEastAsia"/>
                <w:snapToGrid w:val="0"/>
                <w:color w:val="auto"/>
                <w:spacing w:val="-1"/>
                <w:kern w:val="0"/>
                <w:sz w:val="24"/>
                <w:highlight w:val="none"/>
                <w:shd w:val="clear" w:color="auto" w:fill="FFFFFE"/>
              </w:rPr>
            </w:pPr>
            <w:r>
              <w:rPr>
                <w:rFonts w:hint="eastAsia" w:asciiTheme="majorEastAsia" w:hAnsiTheme="majorEastAsia" w:eastAsiaTheme="majorEastAsia" w:cstheme="majorEastAsia"/>
                <w:snapToGrid w:val="0"/>
                <w:color w:val="auto"/>
                <w:spacing w:val="-1"/>
                <w:kern w:val="0"/>
                <w:sz w:val="24"/>
                <w:highlight w:val="none"/>
                <w:shd w:val="clear" w:color="auto" w:fill="FFFFFE"/>
              </w:rPr>
              <w:t>4、开户银行：贵阳银行股份有限公司黔南分行</w:t>
            </w:r>
          </w:p>
          <w:p w14:paraId="45974B7E">
            <w:pPr>
              <w:pStyle w:val="8"/>
              <w:rPr>
                <w:rFonts w:asciiTheme="majorEastAsia" w:hAnsiTheme="majorEastAsia" w:eastAsiaTheme="majorEastAsia" w:cstheme="majorEastAsia"/>
                <w:snapToGrid w:val="0"/>
                <w:color w:val="auto"/>
                <w:spacing w:val="-1"/>
                <w:kern w:val="0"/>
                <w:highlight w:val="none"/>
                <w:shd w:val="clear" w:color="auto" w:fill="FFFFFE"/>
              </w:rPr>
            </w:pPr>
            <w:r>
              <w:rPr>
                <w:rFonts w:hint="eastAsia" w:asciiTheme="majorEastAsia" w:hAnsiTheme="majorEastAsia" w:eastAsiaTheme="majorEastAsia" w:cstheme="majorEastAsia"/>
                <w:snapToGrid w:val="0"/>
                <w:color w:val="auto"/>
                <w:spacing w:val="-1"/>
                <w:kern w:val="0"/>
                <w:sz w:val="24"/>
                <w:highlight w:val="none"/>
                <w:shd w:val="clear" w:color="auto" w:fill="FFFFFE"/>
              </w:rPr>
              <w:t>单位名称：黔南布依族苗族自治州公共资源交易中心</w:t>
            </w:r>
          </w:p>
        </w:tc>
      </w:tr>
      <w:tr w14:paraId="708F57E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070" w:type="dxa"/>
            <w:vAlign w:val="center"/>
          </w:tcPr>
          <w:p w14:paraId="3C111006">
            <w:pPr>
              <w:pStyle w:val="8"/>
              <w:spacing w:line="360" w:lineRule="auto"/>
              <w:jc w:val="center"/>
              <w:rPr>
                <w:rFonts w:asciiTheme="majorEastAsia" w:hAnsiTheme="majorEastAsia" w:eastAsiaTheme="majorEastAsia" w:cstheme="majorEastAsia"/>
                <w:snapToGrid w:val="0"/>
                <w:color w:val="auto"/>
                <w:kern w:val="0"/>
                <w:highlight w:val="none"/>
              </w:rPr>
            </w:pPr>
            <w:r>
              <w:rPr>
                <w:rFonts w:hint="eastAsia" w:asciiTheme="majorEastAsia" w:hAnsiTheme="majorEastAsia" w:eastAsiaTheme="majorEastAsia" w:cstheme="majorEastAsia"/>
                <w:snapToGrid w:val="0"/>
                <w:color w:val="auto"/>
                <w:kern w:val="0"/>
                <w:sz w:val="24"/>
                <w:highlight w:val="none"/>
              </w:rPr>
              <w:t>16</w:t>
            </w:r>
          </w:p>
        </w:tc>
        <w:tc>
          <w:tcPr>
            <w:tcW w:w="1968" w:type="dxa"/>
            <w:vAlign w:val="center"/>
          </w:tcPr>
          <w:p w14:paraId="05183665">
            <w:pPr>
              <w:pStyle w:val="8"/>
              <w:spacing w:line="360" w:lineRule="auto"/>
              <w:jc w:val="center"/>
              <w:rPr>
                <w:rFonts w:hint="default" w:asciiTheme="majorEastAsia" w:hAnsiTheme="majorEastAsia" w:eastAsiaTheme="majorEastAsia" w:cstheme="majorEastAsia"/>
                <w:snapToGrid w:val="0"/>
                <w:color w:val="auto"/>
                <w:spacing w:val="-1"/>
                <w:kern w:val="0"/>
                <w:highlight w:val="none"/>
                <w:shd w:val="clear" w:color="auto" w:fill="FFFFFE"/>
                <w:lang w:val="en-US" w:eastAsia="zh-CN"/>
              </w:rPr>
            </w:pPr>
            <w:r>
              <w:rPr>
                <w:rFonts w:hint="eastAsia" w:asciiTheme="majorEastAsia" w:hAnsiTheme="majorEastAsia" w:eastAsiaTheme="majorEastAsia" w:cstheme="majorEastAsia"/>
                <w:snapToGrid w:val="0"/>
                <w:color w:val="auto"/>
                <w:spacing w:val="-1"/>
                <w:kern w:val="0"/>
                <w:sz w:val="24"/>
                <w:highlight w:val="none"/>
                <w:shd w:val="clear" w:color="auto" w:fill="FFFFFE"/>
              </w:rPr>
              <w:t>投标文件制作</w:t>
            </w:r>
          </w:p>
        </w:tc>
        <w:tc>
          <w:tcPr>
            <w:tcW w:w="6531" w:type="dxa"/>
          </w:tcPr>
          <w:p w14:paraId="22D2F5FC">
            <w:pPr>
              <w:pStyle w:val="8"/>
              <w:rPr>
                <w:rFonts w:asciiTheme="majorEastAsia" w:hAnsiTheme="majorEastAsia" w:eastAsiaTheme="majorEastAsia" w:cstheme="majorEastAsia"/>
                <w:snapToGrid w:val="0"/>
                <w:color w:val="auto"/>
                <w:spacing w:val="-1"/>
                <w:kern w:val="0"/>
                <w:sz w:val="24"/>
                <w:highlight w:val="none"/>
                <w:shd w:val="clear" w:color="auto" w:fill="FFFFFE"/>
              </w:rPr>
            </w:pPr>
            <w:r>
              <w:rPr>
                <w:rFonts w:hint="eastAsia" w:asciiTheme="majorEastAsia" w:hAnsiTheme="majorEastAsia" w:eastAsiaTheme="majorEastAsia" w:cstheme="majorEastAsia"/>
                <w:snapToGrid w:val="0"/>
                <w:color w:val="auto"/>
                <w:spacing w:val="-1"/>
                <w:kern w:val="0"/>
                <w:sz w:val="24"/>
                <w:highlight w:val="none"/>
                <w:shd w:val="clear" w:color="auto" w:fill="FFFFFE"/>
                <w:lang w:val="en-US" w:eastAsia="zh-CN"/>
              </w:rPr>
              <w:t>1、加密电子响应文件（格式为.QNTF 格式，制作及上传 ：全国公共资源交易平台（贵州省·黔南州）站（http：//ggzy.qiannan.gov.cn/）→下载中心→黔南州公共资源交易（州县一体）操作手册。</w:t>
            </w:r>
          </w:p>
        </w:tc>
      </w:tr>
      <w:tr w14:paraId="5D3C9E7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070" w:type="dxa"/>
            <w:vAlign w:val="center"/>
          </w:tcPr>
          <w:p w14:paraId="75E7BF92">
            <w:pPr>
              <w:pStyle w:val="8"/>
              <w:spacing w:line="360" w:lineRule="auto"/>
              <w:jc w:val="center"/>
              <w:rPr>
                <w:rFonts w:asciiTheme="majorEastAsia" w:hAnsiTheme="majorEastAsia" w:eastAsiaTheme="majorEastAsia" w:cstheme="majorEastAsia"/>
                <w:snapToGrid w:val="0"/>
                <w:color w:val="auto"/>
                <w:kern w:val="0"/>
                <w:highlight w:val="none"/>
              </w:rPr>
            </w:pPr>
            <w:r>
              <w:rPr>
                <w:rFonts w:hint="eastAsia" w:asciiTheme="majorEastAsia" w:hAnsiTheme="majorEastAsia" w:eastAsiaTheme="majorEastAsia" w:cstheme="majorEastAsia"/>
                <w:snapToGrid w:val="0"/>
                <w:color w:val="auto"/>
                <w:kern w:val="0"/>
                <w:sz w:val="24"/>
                <w:highlight w:val="none"/>
              </w:rPr>
              <w:t>17</w:t>
            </w:r>
          </w:p>
        </w:tc>
        <w:tc>
          <w:tcPr>
            <w:tcW w:w="1968" w:type="dxa"/>
            <w:vAlign w:val="center"/>
          </w:tcPr>
          <w:p w14:paraId="2DFB462D">
            <w:pPr>
              <w:pStyle w:val="8"/>
              <w:spacing w:line="360" w:lineRule="auto"/>
              <w:jc w:val="center"/>
              <w:rPr>
                <w:rFonts w:asciiTheme="majorEastAsia" w:hAnsiTheme="majorEastAsia" w:eastAsiaTheme="majorEastAsia" w:cstheme="majorEastAsia"/>
                <w:snapToGrid w:val="0"/>
                <w:color w:val="auto"/>
                <w:spacing w:val="-1"/>
                <w:kern w:val="0"/>
                <w:highlight w:val="none"/>
                <w:shd w:val="clear" w:color="auto" w:fill="FFFFFE"/>
              </w:rPr>
            </w:pPr>
            <w:r>
              <w:rPr>
                <w:rFonts w:hint="eastAsia" w:asciiTheme="majorEastAsia" w:hAnsiTheme="majorEastAsia" w:eastAsiaTheme="majorEastAsia" w:cstheme="majorEastAsia"/>
                <w:snapToGrid w:val="0"/>
                <w:color w:val="auto"/>
                <w:spacing w:val="-1"/>
                <w:kern w:val="0"/>
                <w:sz w:val="24"/>
                <w:highlight w:val="none"/>
                <w:shd w:val="clear" w:color="auto" w:fill="FFFFFE"/>
              </w:rPr>
              <w:t>投标文件数量</w:t>
            </w:r>
          </w:p>
        </w:tc>
        <w:tc>
          <w:tcPr>
            <w:tcW w:w="6531" w:type="dxa"/>
          </w:tcPr>
          <w:p w14:paraId="1A4A1E94">
            <w:pPr>
              <w:pStyle w:val="8"/>
              <w:rPr>
                <w:rFonts w:hint="eastAsia" w:asciiTheme="majorEastAsia" w:hAnsiTheme="majorEastAsia" w:eastAsiaTheme="majorEastAsia" w:cstheme="majorEastAsia"/>
                <w:snapToGrid w:val="0"/>
                <w:color w:val="auto"/>
                <w:spacing w:val="-1"/>
                <w:kern w:val="0"/>
                <w:highlight w:val="none"/>
                <w:shd w:val="clear" w:color="auto" w:fill="FFFFFE"/>
                <w:lang w:val="en-US" w:eastAsia="zh-CN"/>
              </w:rPr>
            </w:pPr>
            <w:r>
              <w:rPr>
                <w:rFonts w:hint="eastAsia" w:asciiTheme="majorEastAsia" w:hAnsiTheme="majorEastAsia" w:eastAsiaTheme="majorEastAsia" w:cstheme="majorEastAsia"/>
                <w:snapToGrid w:val="0"/>
                <w:color w:val="auto"/>
                <w:spacing w:val="-1"/>
                <w:kern w:val="0"/>
                <w:sz w:val="24"/>
                <w:highlight w:val="none"/>
                <w:shd w:val="clear" w:color="auto" w:fill="FFFFFE"/>
                <w:lang w:val="en-US" w:eastAsia="zh-CN"/>
              </w:rPr>
              <w:t>不要求</w:t>
            </w:r>
          </w:p>
        </w:tc>
      </w:tr>
      <w:tr w14:paraId="1F19F1B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070" w:type="dxa"/>
            <w:vAlign w:val="center"/>
          </w:tcPr>
          <w:p w14:paraId="1B90B6D8">
            <w:pPr>
              <w:pStyle w:val="8"/>
              <w:spacing w:line="360" w:lineRule="auto"/>
              <w:jc w:val="center"/>
              <w:rPr>
                <w:rFonts w:asciiTheme="majorEastAsia" w:hAnsiTheme="majorEastAsia" w:eastAsiaTheme="majorEastAsia" w:cstheme="majorEastAsia"/>
                <w:snapToGrid w:val="0"/>
                <w:color w:val="auto"/>
                <w:kern w:val="0"/>
                <w:highlight w:val="none"/>
              </w:rPr>
            </w:pPr>
            <w:r>
              <w:rPr>
                <w:rFonts w:hint="eastAsia" w:asciiTheme="majorEastAsia" w:hAnsiTheme="majorEastAsia" w:eastAsiaTheme="majorEastAsia" w:cstheme="majorEastAsia"/>
                <w:snapToGrid w:val="0"/>
                <w:color w:val="auto"/>
                <w:kern w:val="0"/>
                <w:sz w:val="24"/>
                <w:highlight w:val="none"/>
              </w:rPr>
              <w:t>18</w:t>
            </w:r>
          </w:p>
        </w:tc>
        <w:tc>
          <w:tcPr>
            <w:tcW w:w="1968" w:type="dxa"/>
            <w:vAlign w:val="center"/>
          </w:tcPr>
          <w:p w14:paraId="6C1B7BE9">
            <w:pPr>
              <w:widowControl/>
              <w:kinsoku w:val="0"/>
              <w:autoSpaceDE w:val="0"/>
              <w:autoSpaceDN w:val="0"/>
              <w:adjustRightInd w:val="0"/>
              <w:snapToGrid w:val="0"/>
              <w:spacing w:line="360" w:lineRule="auto"/>
              <w:jc w:val="center"/>
              <w:textAlignment w:val="baseline"/>
              <w:rPr>
                <w:rFonts w:asciiTheme="majorEastAsia" w:hAnsiTheme="majorEastAsia" w:eastAsiaTheme="majorEastAsia" w:cstheme="majorEastAsia"/>
                <w:snapToGrid w:val="0"/>
                <w:color w:val="auto"/>
                <w:spacing w:val="-1"/>
                <w:kern w:val="0"/>
                <w:highlight w:val="none"/>
                <w:shd w:val="clear" w:color="auto" w:fill="FFFFFE"/>
              </w:rPr>
            </w:pPr>
            <w:r>
              <w:rPr>
                <w:rFonts w:hint="eastAsia" w:asciiTheme="majorEastAsia" w:hAnsiTheme="majorEastAsia" w:eastAsiaTheme="majorEastAsia" w:cstheme="majorEastAsia"/>
                <w:color w:val="auto"/>
                <w:sz w:val="24"/>
                <w:highlight w:val="none"/>
              </w:rPr>
              <w:t>质疑</w:t>
            </w:r>
          </w:p>
        </w:tc>
        <w:tc>
          <w:tcPr>
            <w:tcW w:w="6531" w:type="dxa"/>
            <w:vAlign w:val="center"/>
          </w:tcPr>
          <w:p w14:paraId="2ADF4E7D">
            <w:pPr>
              <w:widowControl/>
              <w:kinsoku w:val="0"/>
              <w:autoSpaceDE w:val="0"/>
              <w:autoSpaceDN w:val="0"/>
              <w:adjustRightInd w:val="0"/>
              <w:snapToGrid w:val="0"/>
              <w:spacing w:line="360" w:lineRule="auto"/>
              <w:textAlignment w:val="baseline"/>
              <w:rPr>
                <w:rFonts w:asciiTheme="majorEastAsia" w:hAnsiTheme="majorEastAsia" w:eastAsiaTheme="majorEastAsia" w:cstheme="majorEastAsia"/>
                <w:snapToGrid w:val="0"/>
                <w:color w:val="auto"/>
                <w:spacing w:val="-1"/>
                <w:kern w:val="0"/>
                <w:highlight w:val="none"/>
                <w:shd w:val="clear" w:color="auto" w:fill="FFFFFE"/>
              </w:rPr>
            </w:pPr>
            <w:r>
              <w:rPr>
                <w:rFonts w:hint="eastAsia" w:asciiTheme="majorEastAsia" w:hAnsiTheme="majorEastAsia" w:eastAsiaTheme="majorEastAsia" w:cstheme="majorEastAsia"/>
                <w:color w:val="auto"/>
                <w:spacing w:val="-1"/>
                <w:sz w:val="24"/>
                <w:highlight w:val="none"/>
                <w:shd w:val="clear" w:color="auto" w:fill="FFFFFE"/>
              </w:rPr>
              <w:t>供应商认为采购文件、采购过程和中标、成交结果使自己的权益受到损害的，可以在知道或者应知其权益受到损害之日（政府采购法第五十二条规定的供应商应知其权益受到损害之日，是指：（一）对可以质疑的采购文件提出质疑的，为收到采购文件之日或者采购文件公告期限届满之日；（二）对采购过程提出质疑的，为各采购程序环节结束之日；（三）对中标或者成交结果提出质疑的，为中标或者成交结果公告期限届满之日起七个工作日内，以书面形式向采购人提出质疑，供应商在法定质疑期内一次性提出针对同一采购程序环节的质疑，多次提出的不再受理。</w:t>
            </w:r>
          </w:p>
        </w:tc>
      </w:tr>
      <w:tr w14:paraId="23B8687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070" w:type="dxa"/>
            <w:vAlign w:val="center"/>
          </w:tcPr>
          <w:p w14:paraId="531E5556">
            <w:pPr>
              <w:pStyle w:val="8"/>
              <w:spacing w:line="360" w:lineRule="auto"/>
              <w:jc w:val="center"/>
              <w:rPr>
                <w:rFonts w:asciiTheme="majorEastAsia" w:hAnsiTheme="majorEastAsia" w:eastAsiaTheme="majorEastAsia" w:cstheme="majorEastAsia"/>
                <w:snapToGrid w:val="0"/>
                <w:color w:val="auto"/>
                <w:kern w:val="0"/>
                <w:highlight w:val="none"/>
              </w:rPr>
            </w:pPr>
            <w:r>
              <w:rPr>
                <w:rFonts w:hint="eastAsia" w:asciiTheme="majorEastAsia" w:hAnsiTheme="majorEastAsia" w:eastAsiaTheme="majorEastAsia" w:cstheme="majorEastAsia"/>
                <w:snapToGrid w:val="0"/>
                <w:color w:val="auto"/>
                <w:kern w:val="0"/>
                <w:sz w:val="24"/>
                <w:highlight w:val="none"/>
              </w:rPr>
              <w:t>19</w:t>
            </w:r>
          </w:p>
        </w:tc>
        <w:tc>
          <w:tcPr>
            <w:tcW w:w="1968" w:type="dxa"/>
            <w:vAlign w:val="center"/>
          </w:tcPr>
          <w:p w14:paraId="625A4E7A">
            <w:pPr>
              <w:spacing w:before="148" w:line="360" w:lineRule="auto"/>
              <w:ind w:right="151"/>
              <w:jc w:val="center"/>
              <w:rPr>
                <w:rFonts w:asciiTheme="majorEastAsia" w:hAnsiTheme="majorEastAsia" w:eastAsiaTheme="majorEastAsia" w:cstheme="majorEastAsia"/>
                <w:snapToGrid w:val="0"/>
                <w:color w:val="auto"/>
                <w:spacing w:val="-1"/>
                <w:kern w:val="0"/>
                <w:highlight w:val="none"/>
                <w:shd w:val="clear" w:color="auto" w:fill="FFFFFE"/>
              </w:rPr>
            </w:pPr>
            <w:r>
              <w:rPr>
                <w:rFonts w:hint="eastAsia" w:asciiTheme="majorEastAsia" w:hAnsiTheme="majorEastAsia" w:eastAsiaTheme="majorEastAsia" w:cstheme="majorEastAsia"/>
                <w:snapToGrid w:val="0"/>
                <w:color w:val="auto"/>
                <w:spacing w:val="-1"/>
                <w:kern w:val="0"/>
                <w:sz w:val="24"/>
                <w:highlight w:val="none"/>
                <w:shd w:val="clear" w:color="auto" w:fill="FFFFFE"/>
              </w:rPr>
              <w:t>投标文件递交截止时间</w:t>
            </w:r>
          </w:p>
        </w:tc>
        <w:tc>
          <w:tcPr>
            <w:tcW w:w="6531" w:type="dxa"/>
            <w:vAlign w:val="center"/>
          </w:tcPr>
          <w:p w14:paraId="01DCE552">
            <w:pPr>
              <w:spacing w:before="78" w:line="360" w:lineRule="auto"/>
              <w:rPr>
                <w:rFonts w:asciiTheme="majorEastAsia" w:hAnsiTheme="majorEastAsia" w:eastAsiaTheme="majorEastAsia" w:cstheme="majorEastAsia"/>
                <w:snapToGrid w:val="0"/>
                <w:color w:val="auto"/>
                <w:spacing w:val="-1"/>
                <w:kern w:val="0"/>
                <w:highlight w:val="none"/>
                <w:shd w:val="clear" w:color="auto" w:fill="FFFFFE"/>
              </w:rPr>
            </w:pPr>
            <w:r>
              <w:rPr>
                <w:rFonts w:hint="eastAsia" w:asciiTheme="majorEastAsia" w:hAnsiTheme="majorEastAsia" w:eastAsiaTheme="majorEastAsia" w:cstheme="majorEastAsia"/>
                <w:color w:val="auto"/>
                <w:spacing w:val="-1"/>
                <w:sz w:val="24"/>
                <w:highlight w:val="none"/>
                <w:shd w:val="clear" w:color="auto" w:fill="FFFFFE"/>
              </w:rPr>
              <w:t>详见采购公告</w:t>
            </w:r>
          </w:p>
        </w:tc>
      </w:tr>
      <w:tr w14:paraId="4FCA652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070" w:type="dxa"/>
            <w:vAlign w:val="center"/>
          </w:tcPr>
          <w:p w14:paraId="62F6108D">
            <w:pPr>
              <w:pStyle w:val="8"/>
              <w:spacing w:line="360" w:lineRule="auto"/>
              <w:jc w:val="center"/>
              <w:rPr>
                <w:rFonts w:asciiTheme="majorEastAsia" w:hAnsiTheme="majorEastAsia" w:eastAsiaTheme="majorEastAsia" w:cstheme="majorEastAsia"/>
                <w:snapToGrid w:val="0"/>
                <w:color w:val="auto"/>
                <w:kern w:val="0"/>
                <w:highlight w:val="none"/>
              </w:rPr>
            </w:pPr>
            <w:r>
              <w:rPr>
                <w:rFonts w:hint="eastAsia" w:asciiTheme="majorEastAsia" w:hAnsiTheme="majorEastAsia" w:eastAsiaTheme="majorEastAsia" w:cstheme="majorEastAsia"/>
                <w:snapToGrid w:val="0"/>
                <w:color w:val="auto"/>
                <w:kern w:val="0"/>
                <w:sz w:val="24"/>
                <w:highlight w:val="none"/>
              </w:rPr>
              <w:t>20</w:t>
            </w:r>
          </w:p>
        </w:tc>
        <w:tc>
          <w:tcPr>
            <w:tcW w:w="1968" w:type="dxa"/>
            <w:vAlign w:val="center"/>
          </w:tcPr>
          <w:p w14:paraId="03B7246E">
            <w:pPr>
              <w:spacing w:before="147" w:line="360" w:lineRule="auto"/>
              <w:ind w:right="151"/>
              <w:jc w:val="center"/>
              <w:rPr>
                <w:rFonts w:asciiTheme="majorEastAsia" w:hAnsiTheme="majorEastAsia" w:eastAsiaTheme="majorEastAsia" w:cstheme="majorEastAsia"/>
                <w:snapToGrid w:val="0"/>
                <w:color w:val="auto"/>
                <w:spacing w:val="-1"/>
                <w:kern w:val="0"/>
                <w:highlight w:val="none"/>
                <w:shd w:val="clear" w:color="auto" w:fill="FFFFFE"/>
              </w:rPr>
            </w:pPr>
            <w:r>
              <w:rPr>
                <w:rFonts w:hint="eastAsia" w:asciiTheme="majorEastAsia" w:hAnsiTheme="majorEastAsia" w:eastAsiaTheme="majorEastAsia" w:cstheme="majorEastAsia"/>
                <w:snapToGrid w:val="0"/>
                <w:color w:val="auto"/>
                <w:spacing w:val="-1"/>
                <w:kern w:val="0"/>
                <w:sz w:val="24"/>
                <w:highlight w:val="none"/>
                <w:shd w:val="clear" w:color="auto" w:fill="FFFFFE"/>
              </w:rPr>
              <w:t>投标文件递交 地点</w:t>
            </w:r>
          </w:p>
        </w:tc>
        <w:tc>
          <w:tcPr>
            <w:tcW w:w="6531" w:type="dxa"/>
            <w:vAlign w:val="center"/>
          </w:tcPr>
          <w:p w14:paraId="38FF5157">
            <w:pPr>
              <w:keepNext w:val="0"/>
              <w:keepLines w:val="0"/>
              <w:pageBreakBefore w:val="0"/>
              <w:widowControl/>
              <w:kinsoku/>
              <w:wordWrap/>
              <w:overflowPunct/>
              <w:topLinePunct w:val="0"/>
              <w:autoSpaceDE w:val="0"/>
              <w:autoSpaceDN/>
              <w:bidi w:val="0"/>
              <w:adjustRightInd/>
              <w:snapToGrid/>
              <w:spacing w:line="360" w:lineRule="auto"/>
              <w:jc w:val="left"/>
              <w:textAlignment w:val="auto"/>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1、投标供应商应在投标截止时间前通过全国公共资源交易平台（贵州·黔南州）（https://ggzy.guizhou.gov.cn/hallweb/#/login)上传</w:t>
            </w:r>
          </w:p>
          <w:p w14:paraId="3919070B">
            <w:pPr>
              <w:keepNext w:val="0"/>
              <w:keepLines w:val="0"/>
              <w:pageBreakBefore w:val="0"/>
              <w:widowControl/>
              <w:kinsoku/>
              <w:wordWrap/>
              <w:overflowPunct/>
              <w:topLinePunct w:val="0"/>
              <w:autoSpaceDE w:val="0"/>
              <w:autoSpaceDN/>
              <w:bidi w:val="0"/>
              <w:adjustRightInd/>
              <w:snapToGrid/>
              <w:spacing w:line="360" w:lineRule="auto"/>
              <w:jc w:val="left"/>
              <w:textAlignment w:val="auto"/>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递交加密电子投标文件，投标截止时间前未完成投标文件</w:t>
            </w:r>
          </w:p>
          <w:p w14:paraId="17C21F8D">
            <w:pPr>
              <w:keepNext w:val="0"/>
              <w:keepLines w:val="0"/>
              <w:pageBreakBefore w:val="0"/>
              <w:widowControl/>
              <w:kinsoku/>
              <w:wordWrap/>
              <w:overflowPunct/>
              <w:topLinePunct w:val="0"/>
              <w:autoSpaceDE w:val="0"/>
              <w:autoSpaceDN/>
              <w:bidi w:val="0"/>
              <w:adjustRightInd/>
              <w:snapToGrid/>
              <w:spacing w:line="360" w:lineRule="auto"/>
              <w:jc w:val="left"/>
              <w:textAlignment w:val="auto"/>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传输或撤回投标文件的，视为未递交投标文件，投标截止</w:t>
            </w:r>
          </w:p>
          <w:p w14:paraId="15F054B8">
            <w:pPr>
              <w:keepNext w:val="0"/>
              <w:keepLines w:val="0"/>
              <w:pageBreakBefore w:val="0"/>
              <w:widowControl/>
              <w:kinsoku/>
              <w:wordWrap/>
              <w:overflowPunct/>
              <w:topLinePunct w:val="0"/>
              <w:autoSpaceDE w:val="0"/>
              <w:autoSpaceDN/>
              <w:bidi w:val="0"/>
              <w:adjustRightInd/>
              <w:snapToGrid/>
              <w:spacing w:line="360" w:lineRule="auto"/>
              <w:jc w:val="left"/>
              <w:textAlignment w:val="auto"/>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时间后，交易平台不再接收投标文件。</w:t>
            </w:r>
          </w:p>
          <w:p w14:paraId="0742E474">
            <w:pPr>
              <w:keepNext w:val="0"/>
              <w:keepLines w:val="0"/>
              <w:pageBreakBefore w:val="0"/>
              <w:widowControl/>
              <w:kinsoku/>
              <w:wordWrap/>
              <w:overflowPunct/>
              <w:topLinePunct w:val="0"/>
              <w:autoSpaceDE w:val="0"/>
              <w:autoSpaceDN/>
              <w:bidi w:val="0"/>
              <w:adjustRightInd/>
              <w:snapToGrid/>
              <w:spacing w:line="360" w:lineRule="auto"/>
              <w:jc w:val="left"/>
              <w:textAlignment w:val="auto"/>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2、非加密电子光盘投标人于开标后3个工作日内邮寄至代</w:t>
            </w:r>
          </w:p>
          <w:p w14:paraId="7F265D43">
            <w:pPr>
              <w:keepNext w:val="0"/>
              <w:keepLines w:val="0"/>
              <w:pageBreakBefore w:val="0"/>
              <w:widowControl/>
              <w:kinsoku/>
              <w:wordWrap/>
              <w:overflowPunct/>
              <w:topLinePunct w:val="0"/>
              <w:autoSpaceDE w:val="0"/>
              <w:autoSpaceDN/>
              <w:bidi w:val="0"/>
              <w:adjustRightInd/>
              <w:snapToGrid/>
              <w:spacing w:line="360" w:lineRule="auto"/>
              <w:jc w:val="left"/>
              <w:textAlignment w:val="auto"/>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理机构地址，邮费由投标人自付。</w:t>
            </w:r>
          </w:p>
          <w:p w14:paraId="5191F01C">
            <w:pPr>
              <w:keepNext w:val="0"/>
              <w:keepLines w:val="0"/>
              <w:pageBreakBefore w:val="0"/>
              <w:widowControl/>
              <w:kinsoku/>
              <w:wordWrap/>
              <w:overflowPunct/>
              <w:topLinePunct w:val="0"/>
              <w:autoSpaceDE w:val="0"/>
              <w:autoSpaceDN/>
              <w:bidi w:val="0"/>
              <w:adjustRightInd/>
              <w:snapToGrid/>
              <w:spacing w:line="360" w:lineRule="auto"/>
              <w:jc w:val="left"/>
              <w:textAlignment w:val="auto"/>
              <w:rPr>
                <w:rFonts w:asciiTheme="majorEastAsia" w:hAnsiTheme="majorEastAsia" w:eastAsiaTheme="majorEastAsia" w:cstheme="majorEastAsia"/>
                <w:snapToGrid w:val="0"/>
                <w:color w:val="auto"/>
                <w:spacing w:val="-1"/>
                <w:kern w:val="0"/>
                <w:highlight w:val="none"/>
                <w:shd w:val="clear" w:color="auto" w:fill="FFFFFE"/>
              </w:rPr>
            </w:pPr>
            <w:r>
              <w:rPr>
                <w:rFonts w:hint="eastAsia" w:asciiTheme="majorEastAsia" w:hAnsiTheme="majorEastAsia" w:eastAsiaTheme="majorEastAsia" w:cstheme="majorEastAsia"/>
                <w:color w:val="auto"/>
                <w:kern w:val="0"/>
                <w:sz w:val="24"/>
                <w:highlight w:val="none"/>
              </w:rPr>
              <w:t>3、采购人或采购代理机构可以以修改补充通知的方式，酌情延长递交投标文件的截止时间。在此情况下，投标人的所有权利和义务以及投标人受制约的截止时间，均以延长后新的投标截止时间为准。</w:t>
            </w:r>
          </w:p>
        </w:tc>
      </w:tr>
      <w:tr w14:paraId="4B4E18B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070" w:type="dxa"/>
            <w:vAlign w:val="center"/>
          </w:tcPr>
          <w:p w14:paraId="18EB548A">
            <w:pPr>
              <w:pStyle w:val="8"/>
              <w:spacing w:line="360" w:lineRule="auto"/>
              <w:jc w:val="center"/>
              <w:rPr>
                <w:rFonts w:asciiTheme="majorEastAsia" w:hAnsiTheme="majorEastAsia" w:eastAsiaTheme="majorEastAsia" w:cstheme="majorEastAsia"/>
                <w:snapToGrid w:val="0"/>
                <w:color w:val="auto"/>
                <w:kern w:val="0"/>
                <w:highlight w:val="none"/>
              </w:rPr>
            </w:pPr>
            <w:r>
              <w:rPr>
                <w:rFonts w:hint="eastAsia" w:asciiTheme="majorEastAsia" w:hAnsiTheme="majorEastAsia" w:eastAsiaTheme="majorEastAsia" w:cstheme="majorEastAsia"/>
                <w:snapToGrid w:val="0"/>
                <w:color w:val="auto"/>
                <w:kern w:val="0"/>
                <w:sz w:val="24"/>
                <w:highlight w:val="none"/>
              </w:rPr>
              <w:t>21</w:t>
            </w:r>
          </w:p>
        </w:tc>
        <w:tc>
          <w:tcPr>
            <w:tcW w:w="1968" w:type="dxa"/>
            <w:vAlign w:val="center"/>
          </w:tcPr>
          <w:p w14:paraId="3C1FD360">
            <w:pPr>
              <w:pStyle w:val="8"/>
              <w:spacing w:line="360" w:lineRule="auto"/>
              <w:jc w:val="center"/>
              <w:rPr>
                <w:rFonts w:asciiTheme="majorEastAsia" w:hAnsiTheme="majorEastAsia" w:eastAsiaTheme="majorEastAsia" w:cstheme="majorEastAsia"/>
                <w:snapToGrid w:val="0"/>
                <w:color w:val="auto"/>
                <w:kern w:val="0"/>
                <w:highlight w:val="none"/>
              </w:rPr>
            </w:pPr>
            <w:r>
              <w:rPr>
                <w:rFonts w:hint="eastAsia" w:asciiTheme="majorEastAsia" w:hAnsiTheme="majorEastAsia" w:eastAsiaTheme="majorEastAsia" w:cstheme="majorEastAsia"/>
                <w:snapToGrid w:val="0"/>
                <w:color w:val="auto"/>
                <w:kern w:val="0"/>
                <w:sz w:val="24"/>
                <w:highlight w:val="none"/>
              </w:rPr>
              <w:t>开标、资格审查</w:t>
            </w:r>
          </w:p>
        </w:tc>
        <w:tc>
          <w:tcPr>
            <w:tcW w:w="6531" w:type="dxa"/>
            <w:vAlign w:val="center"/>
          </w:tcPr>
          <w:p w14:paraId="7B753116">
            <w:pPr>
              <w:pStyle w:val="8"/>
              <w:spacing w:line="360" w:lineRule="auto"/>
              <w:rPr>
                <w:rFonts w:hint="eastAsia" w:asciiTheme="majorEastAsia" w:hAnsiTheme="majorEastAsia" w:eastAsiaTheme="majorEastAsia" w:cstheme="majorEastAsia"/>
                <w:color w:val="auto"/>
                <w:kern w:val="0"/>
                <w:sz w:val="24"/>
                <w:szCs w:val="24"/>
                <w:highlight w:val="none"/>
                <w:lang w:val="en-US" w:eastAsia="zh-CN" w:bidi="ar-SA"/>
              </w:rPr>
            </w:pPr>
            <w:r>
              <w:rPr>
                <w:rFonts w:hint="eastAsia" w:asciiTheme="majorEastAsia" w:hAnsiTheme="majorEastAsia" w:eastAsiaTheme="majorEastAsia" w:cstheme="majorEastAsia"/>
                <w:color w:val="auto"/>
                <w:kern w:val="0"/>
                <w:sz w:val="24"/>
                <w:szCs w:val="24"/>
                <w:highlight w:val="none"/>
                <w:lang w:val="en-US" w:eastAsia="zh-CN" w:bidi="ar-SA"/>
              </w:rPr>
              <w:t>按下列程序进行开标：</w:t>
            </w:r>
          </w:p>
          <w:p w14:paraId="70EEF594">
            <w:pPr>
              <w:pStyle w:val="8"/>
              <w:spacing w:line="360" w:lineRule="auto"/>
              <w:rPr>
                <w:rFonts w:hint="eastAsia" w:asciiTheme="majorEastAsia" w:hAnsiTheme="majorEastAsia" w:eastAsiaTheme="majorEastAsia" w:cstheme="majorEastAsia"/>
                <w:color w:val="auto"/>
                <w:kern w:val="0"/>
                <w:sz w:val="24"/>
                <w:szCs w:val="24"/>
                <w:highlight w:val="none"/>
                <w:lang w:val="en-US" w:eastAsia="zh-CN" w:bidi="ar-SA"/>
              </w:rPr>
            </w:pPr>
            <w:r>
              <w:rPr>
                <w:rFonts w:hint="eastAsia" w:asciiTheme="majorEastAsia" w:hAnsiTheme="majorEastAsia" w:eastAsiaTheme="majorEastAsia" w:cstheme="majorEastAsia"/>
                <w:color w:val="auto"/>
                <w:kern w:val="0"/>
                <w:sz w:val="24"/>
                <w:szCs w:val="24"/>
                <w:highlight w:val="none"/>
                <w:lang w:val="en-US" w:eastAsia="zh-CN" w:bidi="ar-SA"/>
              </w:rPr>
              <w:t>一、开标程序</w:t>
            </w:r>
          </w:p>
          <w:p w14:paraId="61A60963">
            <w:pPr>
              <w:pStyle w:val="8"/>
              <w:spacing w:line="360" w:lineRule="auto"/>
              <w:rPr>
                <w:rFonts w:hint="eastAsia" w:asciiTheme="majorEastAsia" w:hAnsiTheme="majorEastAsia" w:eastAsiaTheme="majorEastAsia" w:cstheme="majorEastAsia"/>
                <w:color w:val="auto"/>
                <w:kern w:val="0"/>
                <w:sz w:val="24"/>
                <w:szCs w:val="24"/>
                <w:highlight w:val="none"/>
                <w:lang w:val="en-US" w:eastAsia="zh-CN" w:bidi="ar-SA"/>
              </w:rPr>
            </w:pPr>
            <w:r>
              <w:rPr>
                <w:rFonts w:hint="eastAsia" w:asciiTheme="majorEastAsia" w:hAnsiTheme="majorEastAsia" w:eastAsiaTheme="majorEastAsia" w:cstheme="majorEastAsia"/>
                <w:color w:val="auto"/>
                <w:kern w:val="0"/>
                <w:sz w:val="24"/>
                <w:szCs w:val="24"/>
                <w:highlight w:val="none"/>
                <w:lang w:val="en-US" w:eastAsia="zh-CN" w:bidi="ar-SA"/>
              </w:rPr>
              <w:t>1.开标准备：主持人按下列程序进行开标：</w:t>
            </w:r>
          </w:p>
          <w:p w14:paraId="1B178196">
            <w:pPr>
              <w:pStyle w:val="8"/>
              <w:spacing w:line="360" w:lineRule="auto"/>
              <w:rPr>
                <w:rFonts w:hint="eastAsia" w:asciiTheme="majorEastAsia" w:hAnsiTheme="majorEastAsia" w:eastAsiaTheme="majorEastAsia" w:cstheme="majorEastAsia"/>
                <w:color w:val="auto"/>
                <w:kern w:val="0"/>
                <w:sz w:val="24"/>
                <w:szCs w:val="24"/>
                <w:highlight w:val="none"/>
                <w:lang w:val="en-US" w:eastAsia="zh-CN" w:bidi="ar-SA"/>
              </w:rPr>
            </w:pPr>
            <w:r>
              <w:rPr>
                <w:rFonts w:hint="eastAsia" w:asciiTheme="majorEastAsia" w:hAnsiTheme="majorEastAsia" w:eastAsiaTheme="majorEastAsia" w:cstheme="majorEastAsia"/>
                <w:color w:val="auto"/>
                <w:kern w:val="0"/>
                <w:sz w:val="24"/>
                <w:szCs w:val="24"/>
                <w:highlight w:val="none"/>
                <w:lang w:val="en-US" w:eastAsia="zh-CN" w:bidi="ar-SA"/>
              </w:rPr>
              <w:t>（1）宣布开标纪律；</w:t>
            </w:r>
          </w:p>
          <w:p w14:paraId="57562908">
            <w:pPr>
              <w:pStyle w:val="8"/>
              <w:spacing w:line="360" w:lineRule="auto"/>
              <w:rPr>
                <w:rFonts w:hint="eastAsia" w:asciiTheme="majorEastAsia" w:hAnsiTheme="majorEastAsia" w:eastAsiaTheme="majorEastAsia" w:cstheme="majorEastAsia"/>
                <w:color w:val="auto"/>
                <w:kern w:val="0"/>
                <w:sz w:val="24"/>
                <w:szCs w:val="24"/>
                <w:highlight w:val="none"/>
                <w:lang w:val="en-US" w:eastAsia="zh-CN" w:bidi="ar-SA"/>
              </w:rPr>
            </w:pPr>
            <w:r>
              <w:rPr>
                <w:rFonts w:hint="eastAsia" w:asciiTheme="majorEastAsia" w:hAnsiTheme="majorEastAsia" w:eastAsiaTheme="majorEastAsia" w:cstheme="majorEastAsia"/>
                <w:color w:val="auto"/>
                <w:kern w:val="0"/>
                <w:sz w:val="24"/>
                <w:szCs w:val="24"/>
                <w:highlight w:val="none"/>
                <w:lang w:val="en-US" w:eastAsia="zh-CN" w:bidi="ar-SA"/>
              </w:rPr>
              <w:t>（2）宣布采购人、唱标人、记录人、监标人等有关人员姓</w:t>
            </w:r>
          </w:p>
          <w:p w14:paraId="73141FA8">
            <w:pPr>
              <w:pStyle w:val="8"/>
              <w:spacing w:line="360" w:lineRule="auto"/>
              <w:rPr>
                <w:rFonts w:hint="eastAsia" w:asciiTheme="majorEastAsia" w:hAnsiTheme="majorEastAsia" w:eastAsiaTheme="majorEastAsia" w:cstheme="majorEastAsia"/>
                <w:color w:val="auto"/>
                <w:kern w:val="0"/>
                <w:sz w:val="24"/>
                <w:szCs w:val="24"/>
                <w:highlight w:val="none"/>
                <w:lang w:val="en-US" w:eastAsia="zh-CN" w:bidi="ar-SA"/>
              </w:rPr>
            </w:pPr>
            <w:r>
              <w:rPr>
                <w:rFonts w:hint="eastAsia" w:asciiTheme="majorEastAsia" w:hAnsiTheme="majorEastAsia" w:eastAsiaTheme="majorEastAsia" w:cstheme="majorEastAsia"/>
                <w:color w:val="auto"/>
                <w:kern w:val="0"/>
                <w:sz w:val="24"/>
                <w:szCs w:val="24"/>
                <w:highlight w:val="none"/>
                <w:lang w:val="en-US" w:eastAsia="zh-CN" w:bidi="ar-SA"/>
              </w:rPr>
              <w:t>名；</w:t>
            </w:r>
          </w:p>
          <w:p w14:paraId="78513D0E">
            <w:pPr>
              <w:pStyle w:val="8"/>
              <w:spacing w:line="360" w:lineRule="auto"/>
              <w:rPr>
                <w:rFonts w:hint="eastAsia" w:asciiTheme="majorEastAsia" w:hAnsiTheme="majorEastAsia" w:eastAsiaTheme="majorEastAsia" w:cstheme="majorEastAsia"/>
                <w:color w:val="auto"/>
                <w:kern w:val="0"/>
                <w:sz w:val="24"/>
                <w:szCs w:val="24"/>
                <w:highlight w:val="none"/>
                <w:lang w:val="en-US" w:eastAsia="zh-CN" w:bidi="ar-SA"/>
              </w:rPr>
            </w:pPr>
            <w:r>
              <w:rPr>
                <w:rFonts w:hint="eastAsia" w:asciiTheme="majorEastAsia" w:hAnsiTheme="majorEastAsia" w:eastAsiaTheme="majorEastAsia" w:cstheme="majorEastAsia"/>
                <w:color w:val="auto"/>
                <w:kern w:val="0"/>
                <w:sz w:val="24"/>
                <w:szCs w:val="24"/>
                <w:highlight w:val="none"/>
                <w:lang w:val="en-US" w:eastAsia="zh-CN" w:bidi="ar-SA"/>
              </w:rPr>
              <w:t>（3）公布在投标截止时间前递交投标文件的投标供应商名</w:t>
            </w:r>
          </w:p>
          <w:p w14:paraId="3FBB3F59">
            <w:pPr>
              <w:pStyle w:val="8"/>
              <w:spacing w:line="360" w:lineRule="auto"/>
              <w:rPr>
                <w:rFonts w:hint="eastAsia" w:asciiTheme="majorEastAsia" w:hAnsiTheme="majorEastAsia" w:eastAsiaTheme="majorEastAsia" w:cstheme="majorEastAsia"/>
                <w:color w:val="auto"/>
                <w:kern w:val="0"/>
                <w:sz w:val="24"/>
                <w:szCs w:val="24"/>
                <w:highlight w:val="none"/>
                <w:lang w:val="en-US" w:eastAsia="zh-CN" w:bidi="ar-SA"/>
              </w:rPr>
            </w:pPr>
            <w:r>
              <w:rPr>
                <w:rFonts w:hint="eastAsia" w:asciiTheme="majorEastAsia" w:hAnsiTheme="majorEastAsia" w:eastAsiaTheme="majorEastAsia" w:cstheme="majorEastAsia"/>
                <w:color w:val="auto"/>
                <w:kern w:val="0"/>
                <w:sz w:val="24"/>
                <w:szCs w:val="24"/>
                <w:highlight w:val="none"/>
                <w:lang w:val="en-US" w:eastAsia="zh-CN" w:bidi="ar-SA"/>
              </w:rPr>
              <w:t>称；</w:t>
            </w:r>
          </w:p>
          <w:p w14:paraId="236BF343">
            <w:pPr>
              <w:pStyle w:val="8"/>
              <w:spacing w:line="360" w:lineRule="auto"/>
              <w:rPr>
                <w:rFonts w:hint="eastAsia" w:asciiTheme="majorEastAsia" w:hAnsiTheme="majorEastAsia" w:eastAsiaTheme="majorEastAsia" w:cstheme="majorEastAsia"/>
                <w:color w:val="auto"/>
                <w:kern w:val="0"/>
                <w:sz w:val="24"/>
                <w:szCs w:val="24"/>
                <w:highlight w:val="none"/>
                <w:lang w:val="en-US" w:eastAsia="zh-CN" w:bidi="ar-SA"/>
              </w:rPr>
            </w:pPr>
            <w:r>
              <w:rPr>
                <w:rFonts w:hint="eastAsia" w:asciiTheme="majorEastAsia" w:hAnsiTheme="majorEastAsia" w:eastAsiaTheme="majorEastAsia" w:cstheme="majorEastAsia"/>
                <w:color w:val="auto"/>
                <w:kern w:val="0"/>
                <w:sz w:val="24"/>
                <w:szCs w:val="24"/>
                <w:highlight w:val="none"/>
                <w:lang w:val="en-US" w:eastAsia="zh-CN" w:bidi="ar-SA"/>
              </w:rPr>
              <w:t>（4）核验参加开标会议的资格，投标供应商的法定代表人</w:t>
            </w:r>
          </w:p>
          <w:p w14:paraId="0074DE1A">
            <w:pPr>
              <w:pStyle w:val="8"/>
              <w:spacing w:line="360" w:lineRule="auto"/>
              <w:rPr>
                <w:rFonts w:hint="eastAsia" w:asciiTheme="majorEastAsia" w:hAnsiTheme="majorEastAsia" w:eastAsiaTheme="majorEastAsia" w:cstheme="majorEastAsia"/>
                <w:color w:val="auto"/>
                <w:kern w:val="0"/>
                <w:sz w:val="24"/>
                <w:szCs w:val="24"/>
                <w:highlight w:val="none"/>
                <w:lang w:val="en-US" w:eastAsia="zh-CN" w:bidi="ar-SA"/>
              </w:rPr>
            </w:pPr>
            <w:r>
              <w:rPr>
                <w:rFonts w:hint="eastAsia" w:asciiTheme="majorEastAsia" w:hAnsiTheme="majorEastAsia" w:eastAsiaTheme="majorEastAsia" w:cstheme="majorEastAsia"/>
                <w:color w:val="auto"/>
                <w:kern w:val="0"/>
                <w:sz w:val="24"/>
                <w:szCs w:val="24"/>
                <w:highlight w:val="none"/>
                <w:lang w:val="en-US" w:eastAsia="zh-CN" w:bidi="ar-SA"/>
              </w:rPr>
              <w:t>参加开标会议的,应出示法定代表人身份证明原件以及营业</w:t>
            </w:r>
          </w:p>
          <w:p w14:paraId="2AC28115">
            <w:pPr>
              <w:pStyle w:val="8"/>
              <w:spacing w:line="360" w:lineRule="auto"/>
              <w:rPr>
                <w:rFonts w:hint="eastAsia" w:asciiTheme="majorEastAsia" w:hAnsiTheme="majorEastAsia" w:eastAsiaTheme="majorEastAsia" w:cstheme="majorEastAsia"/>
                <w:color w:val="auto"/>
                <w:kern w:val="0"/>
                <w:sz w:val="24"/>
                <w:szCs w:val="24"/>
                <w:highlight w:val="none"/>
                <w:lang w:val="en-US" w:eastAsia="zh-CN" w:bidi="ar-SA"/>
              </w:rPr>
            </w:pPr>
            <w:r>
              <w:rPr>
                <w:rFonts w:hint="eastAsia" w:asciiTheme="majorEastAsia" w:hAnsiTheme="majorEastAsia" w:eastAsiaTheme="majorEastAsia" w:cstheme="majorEastAsia"/>
                <w:color w:val="auto"/>
                <w:kern w:val="0"/>
                <w:sz w:val="24"/>
                <w:szCs w:val="24"/>
                <w:highlight w:val="none"/>
                <w:lang w:val="en-US" w:eastAsia="zh-CN" w:bidi="ar-SA"/>
              </w:rPr>
              <w:t>执照副本复印件；委托代理人参加开标会议的，应出示授</w:t>
            </w:r>
          </w:p>
          <w:p w14:paraId="18DE8E85">
            <w:pPr>
              <w:pStyle w:val="8"/>
              <w:spacing w:line="360" w:lineRule="auto"/>
              <w:rPr>
                <w:rFonts w:hint="eastAsia" w:asciiTheme="majorEastAsia" w:hAnsiTheme="majorEastAsia" w:eastAsiaTheme="majorEastAsia" w:cstheme="majorEastAsia"/>
                <w:color w:val="auto"/>
                <w:kern w:val="0"/>
                <w:sz w:val="24"/>
                <w:szCs w:val="24"/>
                <w:highlight w:val="none"/>
                <w:lang w:val="en-US" w:eastAsia="zh-CN" w:bidi="ar-SA"/>
              </w:rPr>
            </w:pPr>
            <w:r>
              <w:rPr>
                <w:rFonts w:hint="eastAsia" w:asciiTheme="majorEastAsia" w:hAnsiTheme="majorEastAsia" w:eastAsiaTheme="majorEastAsia" w:cstheme="majorEastAsia"/>
                <w:color w:val="auto"/>
                <w:kern w:val="0"/>
                <w:sz w:val="24"/>
                <w:szCs w:val="24"/>
                <w:highlight w:val="none"/>
                <w:lang w:val="en-US" w:eastAsia="zh-CN" w:bidi="ar-SA"/>
              </w:rPr>
              <w:t>权委托书、被授权人身份证原件。以及营业执照副本复印</w:t>
            </w:r>
          </w:p>
          <w:p w14:paraId="30902A59">
            <w:pPr>
              <w:pStyle w:val="8"/>
              <w:spacing w:line="360" w:lineRule="auto"/>
              <w:rPr>
                <w:rFonts w:hint="eastAsia" w:asciiTheme="majorEastAsia" w:hAnsiTheme="majorEastAsia" w:eastAsiaTheme="majorEastAsia" w:cstheme="majorEastAsia"/>
                <w:color w:val="auto"/>
                <w:kern w:val="0"/>
                <w:sz w:val="24"/>
                <w:szCs w:val="24"/>
                <w:highlight w:val="none"/>
                <w:lang w:val="en-US" w:eastAsia="zh-CN" w:bidi="ar-SA"/>
              </w:rPr>
            </w:pPr>
            <w:r>
              <w:rPr>
                <w:rFonts w:hint="eastAsia" w:asciiTheme="majorEastAsia" w:hAnsiTheme="majorEastAsia" w:eastAsiaTheme="majorEastAsia" w:cstheme="majorEastAsia"/>
                <w:color w:val="auto"/>
                <w:kern w:val="0"/>
                <w:sz w:val="24"/>
                <w:szCs w:val="24"/>
                <w:highlight w:val="none"/>
                <w:lang w:val="en-US" w:eastAsia="zh-CN" w:bidi="ar-SA"/>
              </w:rPr>
              <w:t>件；以确认其身份合法有效。携带投标企业 CA 锁解密，</w:t>
            </w:r>
          </w:p>
          <w:p w14:paraId="29585984">
            <w:pPr>
              <w:pStyle w:val="8"/>
              <w:spacing w:line="360" w:lineRule="auto"/>
              <w:rPr>
                <w:rFonts w:hint="eastAsia" w:asciiTheme="majorEastAsia" w:hAnsiTheme="majorEastAsia" w:eastAsiaTheme="majorEastAsia" w:cstheme="majorEastAsia"/>
                <w:color w:val="auto"/>
                <w:kern w:val="0"/>
                <w:sz w:val="24"/>
                <w:szCs w:val="24"/>
                <w:highlight w:val="none"/>
                <w:lang w:val="en-US" w:eastAsia="zh-CN" w:bidi="ar-SA"/>
              </w:rPr>
            </w:pPr>
            <w:r>
              <w:rPr>
                <w:rFonts w:hint="eastAsia" w:asciiTheme="majorEastAsia" w:hAnsiTheme="majorEastAsia" w:eastAsiaTheme="majorEastAsia" w:cstheme="majorEastAsia"/>
                <w:color w:val="auto"/>
                <w:kern w:val="0"/>
                <w:sz w:val="24"/>
                <w:szCs w:val="24"/>
                <w:highlight w:val="none"/>
                <w:lang w:val="en-US" w:eastAsia="zh-CN" w:bidi="ar-SA"/>
              </w:rPr>
              <w:t>按时提交备用的非加密电子光盘响应文件贰份（ .nQNTF</w:t>
            </w:r>
          </w:p>
          <w:p w14:paraId="29FD53C3">
            <w:pPr>
              <w:pStyle w:val="8"/>
              <w:spacing w:line="360" w:lineRule="auto"/>
              <w:rPr>
                <w:rFonts w:hint="eastAsia" w:asciiTheme="majorEastAsia" w:hAnsiTheme="majorEastAsia" w:eastAsiaTheme="majorEastAsia" w:cstheme="majorEastAsia"/>
                <w:color w:val="auto"/>
                <w:kern w:val="0"/>
                <w:sz w:val="24"/>
                <w:szCs w:val="24"/>
                <w:highlight w:val="none"/>
                <w:lang w:val="en-US" w:eastAsia="zh-CN" w:bidi="ar-SA"/>
              </w:rPr>
            </w:pPr>
            <w:r>
              <w:rPr>
                <w:rFonts w:hint="eastAsia" w:asciiTheme="majorEastAsia" w:hAnsiTheme="majorEastAsia" w:eastAsiaTheme="majorEastAsia" w:cstheme="majorEastAsia"/>
                <w:color w:val="auto"/>
                <w:kern w:val="0"/>
                <w:sz w:val="24"/>
                <w:szCs w:val="24"/>
                <w:highlight w:val="none"/>
                <w:lang w:val="en-US" w:eastAsia="zh-CN" w:bidi="ar-SA"/>
              </w:rPr>
              <w:t>格式，仅限于解密失败时使用，光盘中的非加密电子响应</w:t>
            </w:r>
          </w:p>
          <w:p w14:paraId="29E28064">
            <w:pPr>
              <w:pStyle w:val="8"/>
              <w:spacing w:line="360" w:lineRule="auto"/>
              <w:rPr>
                <w:rFonts w:hint="eastAsia" w:asciiTheme="majorEastAsia" w:hAnsiTheme="majorEastAsia" w:eastAsiaTheme="majorEastAsia" w:cstheme="majorEastAsia"/>
                <w:color w:val="auto"/>
                <w:kern w:val="0"/>
                <w:sz w:val="24"/>
                <w:szCs w:val="24"/>
                <w:highlight w:val="none"/>
                <w:lang w:val="en-US" w:eastAsia="zh-CN" w:bidi="ar-SA"/>
              </w:rPr>
            </w:pPr>
            <w:r>
              <w:rPr>
                <w:rFonts w:hint="eastAsia" w:asciiTheme="majorEastAsia" w:hAnsiTheme="majorEastAsia" w:eastAsiaTheme="majorEastAsia" w:cstheme="majorEastAsia"/>
                <w:color w:val="auto"/>
                <w:kern w:val="0"/>
                <w:sz w:val="24"/>
                <w:szCs w:val="24"/>
                <w:highlight w:val="none"/>
                <w:lang w:val="en-US" w:eastAsia="zh-CN" w:bidi="ar-SA"/>
              </w:rPr>
              <w:t>文件的内容、数据、文件生成时间等与已上传的加密电子</w:t>
            </w:r>
          </w:p>
          <w:p w14:paraId="6C8CBF1B">
            <w:pPr>
              <w:pStyle w:val="8"/>
              <w:spacing w:line="360" w:lineRule="auto"/>
              <w:rPr>
                <w:rFonts w:hint="eastAsia" w:asciiTheme="majorEastAsia" w:hAnsiTheme="majorEastAsia" w:eastAsiaTheme="majorEastAsia" w:cstheme="majorEastAsia"/>
                <w:color w:val="auto"/>
                <w:kern w:val="0"/>
                <w:sz w:val="24"/>
                <w:szCs w:val="24"/>
                <w:highlight w:val="none"/>
                <w:lang w:val="en-US" w:eastAsia="zh-CN" w:bidi="ar-SA"/>
              </w:rPr>
            </w:pPr>
            <w:r>
              <w:rPr>
                <w:rFonts w:hint="eastAsia" w:asciiTheme="majorEastAsia" w:hAnsiTheme="majorEastAsia" w:eastAsiaTheme="majorEastAsia" w:cstheme="majorEastAsia"/>
                <w:color w:val="auto"/>
                <w:kern w:val="0"/>
                <w:sz w:val="24"/>
                <w:szCs w:val="24"/>
                <w:highlight w:val="none"/>
                <w:lang w:val="en-US" w:eastAsia="zh-CN" w:bidi="ar-SA"/>
              </w:rPr>
              <w:t>响应文件必须一致。光盘不能读取，或由于光盘中的非加</w:t>
            </w:r>
          </w:p>
          <w:p w14:paraId="6BFA17AD">
            <w:pPr>
              <w:pStyle w:val="8"/>
              <w:spacing w:line="360" w:lineRule="auto"/>
              <w:rPr>
                <w:rFonts w:hint="eastAsia" w:asciiTheme="majorEastAsia" w:hAnsiTheme="majorEastAsia" w:eastAsiaTheme="majorEastAsia" w:cstheme="majorEastAsia"/>
                <w:color w:val="auto"/>
                <w:kern w:val="0"/>
                <w:sz w:val="24"/>
                <w:szCs w:val="24"/>
                <w:highlight w:val="none"/>
                <w:lang w:val="en-US" w:eastAsia="zh-CN" w:bidi="ar-SA"/>
              </w:rPr>
            </w:pPr>
            <w:r>
              <w:rPr>
                <w:rFonts w:hint="eastAsia" w:asciiTheme="majorEastAsia" w:hAnsiTheme="majorEastAsia" w:eastAsiaTheme="majorEastAsia" w:cstheme="majorEastAsia"/>
                <w:color w:val="auto"/>
                <w:kern w:val="0"/>
                <w:sz w:val="24"/>
                <w:szCs w:val="24"/>
                <w:highlight w:val="none"/>
                <w:lang w:val="en-US" w:eastAsia="zh-CN" w:bidi="ar-SA"/>
              </w:rPr>
              <w:t>密电子响应文件的内容、数据、文件生成时间等与已上传</w:t>
            </w:r>
          </w:p>
          <w:p w14:paraId="24B23794">
            <w:pPr>
              <w:pStyle w:val="8"/>
              <w:spacing w:line="360" w:lineRule="auto"/>
              <w:rPr>
                <w:rFonts w:hint="eastAsia" w:asciiTheme="majorEastAsia" w:hAnsiTheme="majorEastAsia" w:eastAsiaTheme="majorEastAsia" w:cstheme="majorEastAsia"/>
                <w:color w:val="auto"/>
                <w:kern w:val="0"/>
                <w:sz w:val="24"/>
                <w:szCs w:val="24"/>
                <w:highlight w:val="none"/>
                <w:lang w:val="en-US" w:eastAsia="zh-CN" w:bidi="ar-SA"/>
              </w:rPr>
            </w:pPr>
            <w:r>
              <w:rPr>
                <w:rFonts w:hint="eastAsia" w:asciiTheme="majorEastAsia" w:hAnsiTheme="majorEastAsia" w:eastAsiaTheme="majorEastAsia" w:cstheme="majorEastAsia"/>
                <w:color w:val="auto"/>
                <w:kern w:val="0"/>
                <w:sz w:val="24"/>
                <w:szCs w:val="24"/>
                <w:highlight w:val="none"/>
                <w:lang w:val="en-US" w:eastAsia="zh-CN" w:bidi="ar-SA"/>
              </w:rPr>
              <w:t>的加密电子响应文件不一致导致导入失败的，其投标将被</w:t>
            </w:r>
          </w:p>
          <w:p w14:paraId="58FE68BF">
            <w:pPr>
              <w:pStyle w:val="8"/>
              <w:spacing w:line="360" w:lineRule="auto"/>
              <w:rPr>
                <w:rFonts w:hint="eastAsia" w:asciiTheme="majorEastAsia" w:hAnsiTheme="majorEastAsia" w:eastAsiaTheme="majorEastAsia" w:cstheme="majorEastAsia"/>
                <w:color w:val="auto"/>
                <w:kern w:val="0"/>
                <w:sz w:val="24"/>
                <w:szCs w:val="24"/>
                <w:highlight w:val="none"/>
                <w:lang w:val="en-US" w:eastAsia="zh-CN" w:bidi="ar-SA"/>
              </w:rPr>
            </w:pPr>
            <w:r>
              <w:rPr>
                <w:rFonts w:hint="eastAsia" w:asciiTheme="majorEastAsia" w:hAnsiTheme="majorEastAsia" w:eastAsiaTheme="majorEastAsia" w:cstheme="majorEastAsia"/>
                <w:color w:val="auto"/>
                <w:kern w:val="0"/>
                <w:sz w:val="24"/>
                <w:szCs w:val="24"/>
                <w:highlight w:val="none"/>
                <w:lang w:val="en-US" w:eastAsia="zh-CN" w:bidi="ar-SA"/>
              </w:rPr>
              <w:t>否决。）；</w:t>
            </w:r>
          </w:p>
          <w:p w14:paraId="592F4673">
            <w:pPr>
              <w:pStyle w:val="8"/>
              <w:spacing w:line="360" w:lineRule="auto"/>
              <w:rPr>
                <w:rFonts w:hint="eastAsia" w:asciiTheme="majorEastAsia" w:hAnsiTheme="majorEastAsia" w:eastAsiaTheme="majorEastAsia" w:cstheme="majorEastAsia"/>
                <w:color w:val="auto"/>
                <w:kern w:val="0"/>
                <w:sz w:val="24"/>
                <w:szCs w:val="24"/>
                <w:highlight w:val="none"/>
                <w:lang w:val="en-US" w:eastAsia="zh-CN" w:bidi="ar-SA"/>
              </w:rPr>
            </w:pPr>
            <w:r>
              <w:rPr>
                <w:rFonts w:hint="eastAsia" w:asciiTheme="majorEastAsia" w:hAnsiTheme="majorEastAsia" w:eastAsiaTheme="majorEastAsia" w:cstheme="majorEastAsia"/>
                <w:color w:val="auto"/>
                <w:kern w:val="0"/>
                <w:sz w:val="24"/>
                <w:szCs w:val="24"/>
                <w:highlight w:val="none"/>
                <w:lang w:val="en-US" w:eastAsia="zh-CN" w:bidi="ar-SA"/>
              </w:rPr>
              <w:t>备注：选择不见面开标和远程投标方式的供应商按远程解</w:t>
            </w:r>
          </w:p>
          <w:p w14:paraId="74504EED">
            <w:pPr>
              <w:pStyle w:val="8"/>
              <w:spacing w:line="360" w:lineRule="auto"/>
              <w:rPr>
                <w:rFonts w:hint="eastAsia" w:asciiTheme="majorEastAsia" w:hAnsiTheme="majorEastAsia" w:eastAsiaTheme="majorEastAsia" w:cstheme="majorEastAsia"/>
                <w:color w:val="auto"/>
                <w:kern w:val="0"/>
                <w:sz w:val="24"/>
                <w:szCs w:val="24"/>
                <w:highlight w:val="none"/>
                <w:lang w:val="en-US" w:eastAsia="zh-CN" w:bidi="ar-SA"/>
              </w:rPr>
            </w:pPr>
            <w:r>
              <w:rPr>
                <w:rFonts w:hint="eastAsia" w:asciiTheme="majorEastAsia" w:hAnsiTheme="majorEastAsia" w:eastAsiaTheme="majorEastAsia" w:cstheme="majorEastAsia"/>
                <w:color w:val="auto"/>
                <w:kern w:val="0"/>
                <w:sz w:val="24"/>
                <w:szCs w:val="24"/>
                <w:highlight w:val="none"/>
                <w:lang w:val="en-US" w:eastAsia="zh-CN" w:bidi="ar-SA"/>
              </w:rPr>
              <w:t>密步骤完成确认，无需到场进行验证，以上验证相关资料</w:t>
            </w:r>
          </w:p>
          <w:p w14:paraId="0A744267">
            <w:pPr>
              <w:pStyle w:val="8"/>
              <w:spacing w:line="360" w:lineRule="auto"/>
              <w:rPr>
                <w:rFonts w:hint="eastAsia" w:asciiTheme="majorEastAsia" w:hAnsiTheme="majorEastAsia" w:eastAsiaTheme="majorEastAsia" w:cstheme="majorEastAsia"/>
                <w:color w:val="auto"/>
                <w:kern w:val="0"/>
                <w:sz w:val="24"/>
                <w:szCs w:val="24"/>
                <w:highlight w:val="none"/>
                <w:lang w:val="en-US" w:eastAsia="zh-CN" w:bidi="ar-SA"/>
              </w:rPr>
            </w:pPr>
            <w:r>
              <w:rPr>
                <w:rFonts w:hint="eastAsia" w:asciiTheme="majorEastAsia" w:hAnsiTheme="majorEastAsia" w:eastAsiaTheme="majorEastAsia" w:cstheme="majorEastAsia"/>
                <w:color w:val="auto"/>
                <w:kern w:val="0"/>
                <w:sz w:val="24"/>
                <w:szCs w:val="24"/>
                <w:highlight w:val="none"/>
                <w:lang w:val="en-US" w:eastAsia="zh-CN" w:bidi="ar-SA"/>
              </w:rPr>
              <w:t>请用原件扫描件上传至投标文件中。供应商使用加密投标</w:t>
            </w:r>
          </w:p>
          <w:p w14:paraId="65D8E0AA">
            <w:pPr>
              <w:pStyle w:val="8"/>
              <w:spacing w:line="360" w:lineRule="auto"/>
              <w:rPr>
                <w:rFonts w:hint="eastAsia" w:asciiTheme="majorEastAsia" w:hAnsiTheme="majorEastAsia" w:eastAsiaTheme="majorEastAsia" w:cstheme="majorEastAsia"/>
                <w:color w:val="auto"/>
                <w:kern w:val="0"/>
                <w:sz w:val="24"/>
                <w:szCs w:val="24"/>
                <w:highlight w:val="none"/>
                <w:lang w:val="en-US" w:eastAsia="zh-CN" w:bidi="ar-SA"/>
              </w:rPr>
            </w:pPr>
            <w:r>
              <w:rPr>
                <w:rFonts w:hint="eastAsia" w:asciiTheme="majorEastAsia" w:hAnsiTheme="majorEastAsia" w:eastAsiaTheme="majorEastAsia" w:cstheme="majorEastAsia"/>
                <w:color w:val="auto"/>
                <w:kern w:val="0"/>
                <w:sz w:val="24"/>
                <w:szCs w:val="24"/>
                <w:highlight w:val="none"/>
                <w:lang w:val="en-US" w:eastAsia="zh-CN" w:bidi="ar-SA"/>
              </w:rPr>
              <w:t>文件的数字证书，在采购人或其委托的代理机构发出解密</w:t>
            </w:r>
          </w:p>
          <w:p w14:paraId="52D9E1ED">
            <w:pPr>
              <w:pStyle w:val="8"/>
              <w:spacing w:line="360" w:lineRule="auto"/>
              <w:rPr>
                <w:rFonts w:hint="eastAsia" w:asciiTheme="majorEastAsia" w:hAnsiTheme="majorEastAsia" w:eastAsiaTheme="majorEastAsia" w:cstheme="majorEastAsia"/>
                <w:color w:val="auto"/>
                <w:kern w:val="0"/>
                <w:sz w:val="24"/>
                <w:szCs w:val="24"/>
                <w:highlight w:val="none"/>
                <w:lang w:val="en-US" w:eastAsia="zh-CN" w:bidi="ar-SA"/>
              </w:rPr>
            </w:pPr>
            <w:r>
              <w:rPr>
                <w:rFonts w:hint="eastAsia" w:asciiTheme="majorEastAsia" w:hAnsiTheme="majorEastAsia" w:eastAsiaTheme="majorEastAsia" w:cstheme="majorEastAsia"/>
                <w:color w:val="auto"/>
                <w:kern w:val="0"/>
                <w:sz w:val="24"/>
                <w:szCs w:val="24"/>
                <w:highlight w:val="none"/>
                <w:lang w:val="en-US" w:eastAsia="zh-CN" w:bidi="ar-SA"/>
              </w:rPr>
              <w:t>指令后，在 30 分钟内完成解密，如参与本项目投标单位</w:t>
            </w:r>
          </w:p>
          <w:p w14:paraId="0B2DCBEB">
            <w:pPr>
              <w:pStyle w:val="8"/>
              <w:spacing w:line="360" w:lineRule="auto"/>
              <w:rPr>
                <w:rFonts w:hint="eastAsia" w:asciiTheme="majorEastAsia" w:hAnsiTheme="majorEastAsia" w:eastAsiaTheme="majorEastAsia" w:cstheme="majorEastAsia"/>
                <w:color w:val="auto"/>
                <w:kern w:val="0"/>
                <w:sz w:val="24"/>
                <w:szCs w:val="24"/>
                <w:highlight w:val="none"/>
                <w:lang w:val="en-US" w:eastAsia="zh-CN" w:bidi="ar-SA"/>
              </w:rPr>
            </w:pPr>
            <w:r>
              <w:rPr>
                <w:rFonts w:hint="eastAsia" w:asciiTheme="majorEastAsia" w:hAnsiTheme="majorEastAsia" w:eastAsiaTheme="majorEastAsia" w:cstheme="majorEastAsia"/>
                <w:color w:val="auto"/>
                <w:kern w:val="0"/>
                <w:sz w:val="24"/>
                <w:szCs w:val="24"/>
                <w:highlight w:val="none"/>
                <w:lang w:val="en-US" w:eastAsia="zh-CN" w:bidi="ar-SA"/>
              </w:rPr>
              <w:t>过多，在 30 分钟内无法完成解密，采购人或采购代理机</w:t>
            </w:r>
          </w:p>
          <w:p w14:paraId="3C832A27">
            <w:pPr>
              <w:pStyle w:val="8"/>
              <w:spacing w:line="360" w:lineRule="auto"/>
              <w:rPr>
                <w:rFonts w:hint="eastAsia" w:asciiTheme="majorEastAsia" w:hAnsiTheme="majorEastAsia" w:eastAsiaTheme="majorEastAsia" w:cstheme="majorEastAsia"/>
                <w:color w:val="auto"/>
                <w:kern w:val="0"/>
                <w:sz w:val="24"/>
                <w:szCs w:val="24"/>
                <w:highlight w:val="none"/>
                <w:lang w:val="en-US" w:eastAsia="zh-CN" w:bidi="ar-SA"/>
              </w:rPr>
            </w:pPr>
            <w:r>
              <w:rPr>
                <w:rFonts w:hint="eastAsia" w:asciiTheme="majorEastAsia" w:hAnsiTheme="majorEastAsia" w:eastAsiaTheme="majorEastAsia" w:cstheme="majorEastAsia"/>
                <w:color w:val="auto"/>
                <w:kern w:val="0"/>
                <w:sz w:val="24"/>
                <w:szCs w:val="24"/>
                <w:highlight w:val="none"/>
                <w:lang w:val="en-US" w:eastAsia="zh-CN" w:bidi="ar-SA"/>
              </w:rPr>
              <w:t>构将视开标现场情况酌情延长解密时间。</w:t>
            </w:r>
          </w:p>
          <w:p w14:paraId="264AE6A2">
            <w:pPr>
              <w:pStyle w:val="8"/>
              <w:spacing w:line="360" w:lineRule="auto"/>
              <w:rPr>
                <w:rFonts w:hint="eastAsia" w:asciiTheme="majorEastAsia" w:hAnsiTheme="majorEastAsia" w:eastAsiaTheme="majorEastAsia" w:cstheme="majorEastAsia"/>
                <w:color w:val="auto"/>
                <w:kern w:val="0"/>
                <w:sz w:val="24"/>
                <w:szCs w:val="24"/>
                <w:highlight w:val="none"/>
                <w:lang w:val="en-US" w:eastAsia="zh-CN" w:bidi="ar-SA"/>
              </w:rPr>
            </w:pPr>
            <w:r>
              <w:rPr>
                <w:rFonts w:hint="eastAsia" w:asciiTheme="majorEastAsia" w:hAnsiTheme="majorEastAsia" w:eastAsiaTheme="majorEastAsia" w:cstheme="majorEastAsia"/>
                <w:color w:val="auto"/>
                <w:kern w:val="0"/>
                <w:sz w:val="24"/>
                <w:szCs w:val="24"/>
                <w:highlight w:val="none"/>
                <w:lang w:val="en-US" w:eastAsia="zh-CN" w:bidi="ar-SA"/>
              </w:rPr>
              <w:t>（5）重申最高限价；</w:t>
            </w:r>
          </w:p>
          <w:p w14:paraId="4D01AE4C">
            <w:pPr>
              <w:pStyle w:val="8"/>
              <w:spacing w:line="360" w:lineRule="auto"/>
              <w:rPr>
                <w:rFonts w:hint="eastAsia" w:asciiTheme="majorEastAsia" w:hAnsiTheme="majorEastAsia" w:eastAsiaTheme="majorEastAsia" w:cstheme="majorEastAsia"/>
                <w:color w:val="auto"/>
                <w:kern w:val="0"/>
                <w:sz w:val="24"/>
                <w:szCs w:val="24"/>
                <w:highlight w:val="none"/>
                <w:lang w:val="en-US" w:eastAsia="zh-CN" w:bidi="ar-SA"/>
              </w:rPr>
            </w:pPr>
            <w:r>
              <w:rPr>
                <w:rFonts w:hint="eastAsia" w:asciiTheme="majorEastAsia" w:hAnsiTheme="majorEastAsia" w:eastAsiaTheme="majorEastAsia" w:cstheme="majorEastAsia"/>
                <w:color w:val="auto"/>
                <w:kern w:val="0"/>
                <w:sz w:val="24"/>
                <w:szCs w:val="24"/>
                <w:highlight w:val="none"/>
                <w:lang w:val="en-US" w:eastAsia="zh-CN" w:bidi="ar-SA"/>
              </w:rPr>
              <w:t>（6）投标供应商对电子投标文件解密，采购人对电子投标</w:t>
            </w:r>
          </w:p>
          <w:p w14:paraId="052DBBA2">
            <w:pPr>
              <w:pStyle w:val="8"/>
              <w:spacing w:line="360" w:lineRule="auto"/>
              <w:rPr>
                <w:rFonts w:hint="eastAsia" w:asciiTheme="majorEastAsia" w:hAnsiTheme="majorEastAsia" w:eastAsiaTheme="majorEastAsia" w:cstheme="majorEastAsia"/>
                <w:color w:val="auto"/>
                <w:kern w:val="0"/>
                <w:sz w:val="24"/>
                <w:szCs w:val="24"/>
                <w:highlight w:val="none"/>
                <w:lang w:val="en-US" w:eastAsia="zh-CN" w:bidi="ar-SA"/>
              </w:rPr>
            </w:pPr>
            <w:r>
              <w:rPr>
                <w:rFonts w:hint="eastAsia" w:asciiTheme="majorEastAsia" w:hAnsiTheme="majorEastAsia" w:eastAsiaTheme="majorEastAsia" w:cstheme="majorEastAsia"/>
                <w:color w:val="auto"/>
                <w:kern w:val="0"/>
                <w:sz w:val="24"/>
                <w:szCs w:val="24"/>
                <w:highlight w:val="none"/>
                <w:lang w:val="en-US" w:eastAsia="zh-CN" w:bidi="ar-SA"/>
              </w:rPr>
              <w:t>文件解密；公布投标供应商名称、投标报价、及其他内容</w:t>
            </w:r>
          </w:p>
          <w:p w14:paraId="6A709874">
            <w:pPr>
              <w:pStyle w:val="8"/>
              <w:spacing w:line="360" w:lineRule="auto"/>
              <w:rPr>
                <w:rFonts w:hint="eastAsia" w:asciiTheme="majorEastAsia" w:hAnsiTheme="majorEastAsia" w:eastAsiaTheme="majorEastAsia" w:cstheme="majorEastAsia"/>
                <w:color w:val="auto"/>
                <w:kern w:val="0"/>
                <w:sz w:val="24"/>
                <w:szCs w:val="24"/>
                <w:highlight w:val="none"/>
                <w:lang w:val="en-US" w:eastAsia="zh-CN" w:bidi="ar-SA"/>
              </w:rPr>
            </w:pPr>
            <w:r>
              <w:rPr>
                <w:rFonts w:hint="eastAsia" w:asciiTheme="majorEastAsia" w:hAnsiTheme="majorEastAsia" w:eastAsiaTheme="majorEastAsia" w:cstheme="majorEastAsia"/>
                <w:color w:val="auto"/>
                <w:kern w:val="0"/>
                <w:sz w:val="24"/>
                <w:szCs w:val="24"/>
                <w:highlight w:val="none"/>
                <w:lang w:val="en-US" w:eastAsia="zh-CN" w:bidi="ar-SA"/>
              </w:rPr>
              <w:t>，并记录在案；</w:t>
            </w:r>
          </w:p>
          <w:p w14:paraId="14DA3555">
            <w:pPr>
              <w:pStyle w:val="8"/>
              <w:spacing w:line="360" w:lineRule="auto"/>
              <w:rPr>
                <w:rFonts w:hint="eastAsia" w:asciiTheme="majorEastAsia" w:hAnsiTheme="majorEastAsia" w:eastAsiaTheme="majorEastAsia" w:cstheme="majorEastAsia"/>
                <w:color w:val="auto"/>
                <w:kern w:val="0"/>
                <w:sz w:val="24"/>
                <w:szCs w:val="24"/>
                <w:highlight w:val="none"/>
                <w:lang w:val="en-US" w:eastAsia="zh-CN" w:bidi="ar-SA"/>
              </w:rPr>
            </w:pPr>
            <w:r>
              <w:rPr>
                <w:rFonts w:hint="eastAsia" w:asciiTheme="majorEastAsia" w:hAnsiTheme="majorEastAsia" w:eastAsiaTheme="majorEastAsia" w:cstheme="majorEastAsia"/>
                <w:color w:val="auto"/>
                <w:kern w:val="0"/>
                <w:sz w:val="24"/>
                <w:szCs w:val="24"/>
                <w:highlight w:val="none"/>
                <w:lang w:val="en-US" w:eastAsia="zh-CN" w:bidi="ar-SA"/>
              </w:rPr>
              <w:t>（7）投标供应商代表、采购人代表、验证人、记录人等有</w:t>
            </w:r>
          </w:p>
          <w:p w14:paraId="6291FA1F">
            <w:pPr>
              <w:pStyle w:val="8"/>
              <w:spacing w:line="360" w:lineRule="auto"/>
              <w:rPr>
                <w:rFonts w:hint="eastAsia" w:asciiTheme="majorEastAsia" w:hAnsiTheme="majorEastAsia" w:eastAsiaTheme="majorEastAsia" w:cstheme="majorEastAsia"/>
                <w:color w:val="auto"/>
                <w:kern w:val="0"/>
                <w:sz w:val="24"/>
                <w:szCs w:val="24"/>
                <w:highlight w:val="none"/>
                <w:lang w:val="en-US" w:eastAsia="zh-CN" w:bidi="ar-SA"/>
              </w:rPr>
            </w:pPr>
            <w:r>
              <w:rPr>
                <w:rFonts w:hint="eastAsia" w:asciiTheme="majorEastAsia" w:hAnsiTheme="majorEastAsia" w:eastAsiaTheme="majorEastAsia" w:cstheme="majorEastAsia"/>
                <w:color w:val="auto"/>
                <w:kern w:val="0"/>
                <w:sz w:val="24"/>
                <w:szCs w:val="24"/>
                <w:highlight w:val="none"/>
                <w:lang w:val="en-US" w:eastAsia="zh-CN" w:bidi="ar-SA"/>
              </w:rPr>
              <w:t>关人员在开标记录上签字确认；</w:t>
            </w:r>
          </w:p>
          <w:p w14:paraId="692DE162">
            <w:pPr>
              <w:pStyle w:val="8"/>
              <w:spacing w:line="360" w:lineRule="auto"/>
              <w:rPr>
                <w:rFonts w:hint="eastAsia" w:asciiTheme="majorEastAsia" w:hAnsiTheme="majorEastAsia" w:eastAsiaTheme="majorEastAsia" w:cstheme="majorEastAsia"/>
                <w:color w:val="auto"/>
                <w:kern w:val="0"/>
                <w:sz w:val="24"/>
                <w:szCs w:val="24"/>
                <w:highlight w:val="none"/>
                <w:lang w:val="en-US" w:eastAsia="zh-CN" w:bidi="ar-SA"/>
              </w:rPr>
            </w:pPr>
            <w:r>
              <w:rPr>
                <w:rFonts w:hint="eastAsia" w:asciiTheme="majorEastAsia" w:hAnsiTheme="majorEastAsia" w:eastAsiaTheme="majorEastAsia" w:cstheme="majorEastAsia"/>
                <w:color w:val="auto"/>
                <w:kern w:val="0"/>
                <w:sz w:val="24"/>
                <w:szCs w:val="24"/>
                <w:highlight w:val="none"/>
                <w:lang w:val="en-US" w:eastAsia="zh-CN" w:bidi="ar-SA"/>
              </w:rPr>
              <w:t>（8）开标结束。</w:t>
            </w:r>
          </w:p>
          <w:p w14:paraId="39EBE1EF">
            <w:pPr>
              <w:pStyle w:val="8"/>
              <w:spacing w:line="360" w:lineRule="auto"/>
              <w:rPr>
                <w:rFonts w:hint="eastAsia" w:asciiTheme="majorEastAsia" w:hAnsiTheme="majorEastAsia" w:eastAsiaTheme="majorEastAsia" w:cstheme="majorEastAsia"/>
                <w:color w:val="auto"/>
                <w:kern w:val="0"/>
                <w:sz w:val="24"/>
                <w:szCs w:val="24"/>
                <w:highlight w:val="none"/>
                <w:lang w:val="en-US" w:eastAsia="zh-CN" w:bidi="ar-SA"/>
              </w:rPr>
            </w:pPr>
            <w:r>
              <w:rPr>
                <w:rFonts w:hint="eastAsia" w:asciiTheme="majorEastAsia" w:hAnsiTheme="majorEastAsia" w:eastAsiaTheme="majorEastAsia" w:cstheme="majorEastAsia"/>
                <w:color w:val="auto"/>
                <w:kern w:val="0"/>
                <w:sz w:val="24"/>
                <w:szCs w:val="24"/>
                <w:highlight w:val="none"/>
                <w:lang w:val="en-US" w:eastAsia="zh-CN" w:bidi="ar-SA"/>
              </w:rPr>
              <w:t>2.投标文件出现下列情形之一的，系统将予以拒收：</w:t>
            </w:r>
          </w:p>
          <w:p w14:paraId="110E3002">
            <w:pPr>
              <w:pStyle w:val="8"/>
              <w:spacing w:line="360" w:lineRule="auto"/>
              <w:rPr>
                <w:rFonts w:hint="eastAsia" w:asciiTheme="majorEastAsia" w:hAnsiTheme="majorEastAsia" w:eastAsiaTheme="majorEastAsia" w:cstheme="majorEastAsia"/>
                <w:color w:val="auto"/>
                <w:kern w:val="0"/>
                <w:sz w:val="24"/>
                <w:szCs w:val="24"/>
                <w:highlight w:val="none"/>
                <w:lang w:val="en-US" w:eastAsia="zh-CN" w:bidi="ar-SA"/>
              </w:rPr>
            </w:pPr>
            <w:r>
              <w:rPr>
                <w:rFonts w:hint="eastAsia" w:asciiTheme="majorEastAsia" w:hAnsiTheme="majorEastAsia" w:eastAsiaTheme="majorEastAsia" w:cstheme="majorEastAsia"/>
                <w:color w:val="auto"/>
                <w:kern w:val="0"/>
                <w:sz w:val="24"/>
                <w:szCs w:val="24"/>
                <w:highlight w:val="none"/>
                <w:lang w:val="en-US" w:eastAsia="zh-CN" w:bidi="ar-SA"/>
              </w:rPr>
              <w:t>①投标截止时间前未完整上传的；</w:t>
            </w:r>
          </w:p>
          <w:p w14:paraId="0AEC4AE1">
            <w:pPr>
              <w:pStyle w:val="8"/>
              <w:spacing w:line="360" w:lineRule="auto"/>
              <w:rPr>
                <w:rFonts w:hint="eastAsia" w:asciiTheme="majorEastAsia" w:hAnsiTheme="majorEastAsia" w:eastAsiaTheme="majorEastAsia" w:cstheme="majorEastAsia"/>
                <w:color w:val="auto"/>
                <w:kern w:val="0"/>
                <w:sz w:val="24"/>
                <w:szCs w:val="24"/>
                <w:highlight w:val="none"/>
                <w:lang w:val="en-US" w:eastAsia="zh-CN" w:bidi="ar-SA"/>
              </w:rPr>
            </w:pPr>
            <w:r>
              <w:rPr>
                <w:rFonts w:hint="eastAsia" w:asciiTheme="majorEastAsia" w:hAnsiTheme="majorEastAsia" w:eastAsiaTheme="majorEastAsia" w:cstheme="majorEastAsia"/>
                <w:color w:val="auto"/>
                <w:kern w:val="0"/>
                <w:sz w:val="24"/>
                <w:szCs w:val="24"/>
                <w:highlight w:val="none"/>
                <w:lang w:val="en-US" w:eastAsia="zh-CN" w:bidi="ar-SA"/>
              </w:rPr>
              <w:t>②未按规定进行电子签名、加密的。</w:t>
            </w:r>
          </w:p>
          <w:p w14:paraId="514637F7">
            <w:pPr>
              <w:pStyle w:val="8"/>
              <w:spacing w:line="360" w:lineRule="auto"/>
              <w:rPr>
                <w:rFonts w:hint="eastAsia" w:asciiTheme="majorEastAsia" w:hAnsiTheme="majorEastAsia" w:eastAsiaTheme="majorEastAsia" w:cstheme="majorEastAsia"/>
                <w:color w:val="auto"/>
                <w:kern w:val="0"/>
                <w:sz w:val="24"/>
                <w:szCs w:val="24"/>
                <w:highlight w:val="none"/>
                <w:lang w:val="en-US" w:eastAsia="zh-CN" w:bidi="ar-SA"/>
              </w:rPr>
            </w:pPr>
            <w:r>
              <w:rPr>
                <w:rFonts w:hint="eastAsia" w:asciiTheme="majorEastAsia" w:hAnsiTheme="majorEastAsia" w:eastAsiaTheme="majorEastAsia" w:cstheme="majorEastAsia"/>
                <w:color w:val="auto"/>
                <w:kern w:val="0"/>
                <w:sz w:val="24"/>
                <w:szCs w:val="24"/>
                <w:highlight w:val="none"/>
                <w:lang w:val="en-US" w:eastAsia="zh-CN" w:bidi="ar-SA"/>
              </w:rPr>
              <w:t>相关技术问题咨询电话：0854-8229920</w:t>
            </w:r>
          </w:p>
          <w:p w14:paraId="65D6EE53">
            <w:pPr>
              <w:pStyle w:val="8"/>
              <w:spacing w:line="360" w:lineRule="auto"/>
              <w:rPr>
                <w:rFonts w:asciiTheme="majorEastAsia" w:hAnsiTheme="majorEastAsia" w:eastAsiaTheme="majorEastAsia" w:cstheme="majorEastAsia"/>
                <w:snapToGrid w:val="0"/>
                <w:color w:val="auto"/>
                <w:kern w:val="0"/>
                <w:highlight w:val="none"/>
              </w:rPr>
            </w:pPr>
            <w:r>
              <w:rPr>
                <w:rFonts w:hint="eastAsia" w:asciiTheme="majorEastAsia" w:hAnsiTheme="majorEastAsia" w:eastAsiaTheme="majorEastAsia" w:cstheme="majorEastAsia"/>
                <w:snapToGrid w:val="0"/>
                <w:color w:val="auto"/>
                <w:kern w:val="0"/>
                <w:sz w:val="24"/>
                <w:highlight w:val="none"/>
              </w:rPr>
              <w:t>二、资格审查</w:t>
            </w:r>
          </w:p>
          <w:p w14:paraId="05F9EA37">
            <w:pPr>
              <w:pStyle w:val="8"/>
              <w:spacing w:line="360" w:lineRule="auto"/>
              <w:ind w:firstLine="480"/>
              <w:rPr>
                <w:rFonts w:asciiTheme="majorEastAsia" w:hAnsiTheme="majorEastAsia" w:eastAsiaTheme="majorEastAsia" w:cstheme="majorEastAsia"/>
                <w:snapToGrid w:val="0"/>
                <w:color w:val="auto"/>
                <w:kern w:val="0"/>
                <w:highlight w:val="none"/>
              </w:rPr>
            </w:pPr>
            <w:r>
              <w:rPr>
                <w:rFonts w:hint="eastAsia" w:asciiTheme="majorEastAsia" w:hAnsiTheme="majorEastAsia" w:eastAsiaTheme="majorEastAsia" w:cstheme="majorEastAsia"/>
                <w:snapToGrid w:val="0"/>
                <w:color w:val="auto"/>
                <w:kern w:val="0"/>
                <w:sz w:val="24"/>
                <w:highlight w:val="none"/>
              </w:rPr>
              <w:t>开标会结束后，由资格审查人（由采购人或采购代理机构组成单数的资格审查人），在贵州省公共资源交易中心按采购文件的规定进行资格审查，合格供应商不足3家的，不得评标。</w:t>
            </w:r>
          </w:p>
        </w:tc>
      </w:tr>
      <w:tr w14:paraId="45EECE6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070" w:type="dxa"/>
            <w:vAlign w:val="center"/>
          </w:tcPr>
          <w:p w14:paraId="6269A70F">
            <w:pPr>
              <w:pStyle w:val="8"/>
              <w:spacing w:line="360" w:lineRule="auto"/>
              <w:jc w:val="center"/>
              <w:rPr>
                <w:rFonts w:asciiTheme="majorEastAsia" w:hAnsiTheme="majorEastAsia" w:eastAsiaTheme="majorEastAsia" w:cstheme="majorEastAsia"/>
                <w:snapToGrid w:val="0"/>
                <w:color w:val="auto"/>
                <w:kern w:val="0"/>
                <w:highlight w:val="none"/>
              </w:rPr>
            </w:pPr>
            <w:r>
              <w:rPr>
                <w:rFonts w:hint="eastAsia" w:asciiTheme="majorEastAsia" w:hAnsiTheme="majorEastAsia" w:eastAsiaTheme="majorEastAsia" w:cstheme="majorEastAsia"/>
                <w:snapToGrid w:val="0"/>
                <w:color w:val="auto"/>
                <w:kern w:val="0"/>
                <w:sz w:val="24"/>
                <w:highlight w:val="none"/>
              </w:rPr>
              <w:t>22</w:t>
            </w:r>
          </w:p>
        </w:tc>
        <w:tc>
          <w:tcPr>
            <w:tcW w:w="1968" w:type="dxa"/>
          </w:tcPr>
          <w:p w14:paraId="5FFF0C54">
            <w:pPr>
              <w:spacing w:before="146" w:line="360" w:lineRule="auto"/>
              <w:ind w:right="150"/>
              <w:jc w:val="center"/>
              <w:rPr>
                <w:rFonts w:asciiTheme="majorEastAsia" w:hAnsiTheme="majorEastAsia" w:eastAsiaTheme="majorEastAsia" w:cstheme="majorEastAsia"/>
                <w:snapToGrid w:val="0"/>
                <w:color w:val="auto"/>
                <w:kern w:val="0"/>
                <w:highlight w:val="none"/>
              </w:rPr>
            </w:pPr>
            <w:r>
              <w:rPr>
                <w:rFonts w:hint="eastAsia" w:asciiTheme="majorEastAsia" w:hAnsiTheme="majorEastAsia" w:eastAsiaTheme="majorEastAsia" w:cstheme="majorEastAsia"/>
                <w:snapToGrid w:val="0"/>
                <w:color w:val="auto"/>
                <w:kern w:val="0"/>
                <w:sz w:val="24"/>
                <w:highlight w:val="none"/>
              </w:rPr>
              <w:t>是否退还投标 文件</w:t>
            </w:r>
          </w:p>
        </w:tc>
        <w:tc>
          <w:tcPr>
            <w:tcW w:w="6531" w:type="dxa"/>
            <w:vAlign w:val="center"/>
          </w:tcPr>
          <w:p w14:paraId="35288D73">
            <w:pPr>
              <w:spacing w:before="78" w:line="360" w:lineRule="auto"/>
              <w:rPr>
                <w:rFonts w:asciiTheme="majorEastAsia" w:hAnsiTheme="majorEastAsia" w:eastAsiaTheme="majorEastAsia" w:cstheme="majorEastAsia"/>
                <w:snapToGrid w:val="0"/>
                <w:color w:val="auto"/>
                <w:kern w:val="0"/>
                <w:highlight w:val="none"/>
              </w:rPr>
            </w:pPr>
            <w:r>
              <w:rPr>
                <w:rFonts w:hint="eastAsia" w:asciiTheme="majorEastAsia" w:hAnsiTheme="majorEastAsia" w:eastAsiaTheme="majorEastAsia" w:cstheme="majorEastAsia"/>
                <w:snapToGrid w:val="0"/>
                <w:color w:val="auto"/>
                <w:kern w:val="0"/>
                <w:sz w:val="24"/>
                <w:highlight w:val="none"/>
              </w:rPr>
              <w:t>不退还。</w:t>
            </w:r>
          </w:p>
        </w:tc>
      </w:tr>
      <w:tr w14:paraId="130F768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070" w:type="dxa"/>
            <w:vAlign w:val="center"/>
          </w:tcPr>
          <w:p w14:paraId="7C7526BE">
            <w:pPr>
              <w:pStyle w:val="8"/>
              <w:spacing w:line="360" w:lineRule="auto"/>
              <w:jc w:val="center"/>
              <w:rPr>
                <w:rFonts w:asciiTheme="majorEastAsia" w:hAnsiTheme="majorEastAsia" w:eastAsiaTheme="majorEastAsia" w:cstheme="majorEastAsia"/>
                <w:snapToGrid w:val="0"/>
                <w:color w:val="auto"/>
                <w:kern w:val="0"/>
                <w:highlight w:val="none"/>
              </w:rPr>
            </w:pPr>
            <w:r>
              <w:rPr>
                <w:rFonts w:hint="eastAsia" w:asciiTheme="majorEastAsia" w:hAnsiTheme="majorEastAsia" w:eastAsiaTheme="majorEastAsia" w:cstheme="majorEastAsia"/>
                <w:snapToGrid w:val="0"/>
                <w:color w:val="auto"/>
                <w:kern w:val="0"/>
                <w:sz w:val="24"/>
                <w:highlight w:val="none"/>
              </w:rPr>
              <w:t>23</w:t>
            </w:r>
          </w:p>
        </w:tc>
        <w:tc>
          <w:tcPr>
            <w:tcW w:w="1968" w:type="dxa"/>
            <w:vAlign w:val="center"/>
          </w:tcPr>
          <w:p w14:paraId="0033169B">
            <w:pPr>
              <w:pStyle w:val="8"/>
              <w:spacing w:line="360" w:lineRule="auto"/>
              <w:jc w:val="center"/>
              <w:rPr>
                <w:rFonts w:asciiTheme="majorEastAsia" w:hAnsiTheme="majorEastAsia" w:eastAsiaTheme="majorEastAsia" w:cstheme="majorEastAsia"/>
                <w:snapToGrid w:val="0"/>
                <w:color w:val="auto"/>
                <w:kern w:val="0"/>
                <w:highlight w:val="none"/>
              </w:rPr>
            </w:pPr>
            <w:r>
              <w:rPr>
                <w:rFonts w:hint="eastAsia" w:asciiTheme="majorEastAsia" w:hAnsiTheme="majorEastAsia" w:eastAsiaTheme="majorEastAsia" w:cstheme="majorEastAsia"/>
                <w:snapToGrid w:val="0"/>
                <w:color w:val="auto"/>
                <w:kern w:val="0"/>
                <w:sz w:val="24"/>
                <w:highlight w:val="none"/>
              </w:rPr>
              <w:t>评标委员会组 建</w:t>
            </w:r>
          </w:p>
        </w:tc>
        <w:tc>
          <w:tcPr>
            <w:tcW w:w="6531" w:type="dxa"/>
            <w:vAlign w:val="center"/>
          </w:tcPr>
          <w:p w14:paraId="3FC5E1EE">
            <w:pPr>
              <w:pStyle w:val="8"/>
              <w:spacing w:line="360" w:lineRule="auto"/>
              <w:rPr>
                <w:rFonts w:asciiTheme="majorEastAsia" w:hAnsiTheme="majorEastAsia" w:eastAsiaTheme="majorEastAsia" w:cstheme="majorEastAsia"/>
                <w:snapToGrid w:val="0"/>
                <w:color w:val="auto"/>
                <w:kern w:val="0"/>
                <w:sz w:val="24"/>
                <w:highlight w:val="none"/>
              </w:rPr>
            </w:pPr>
            <w:r>
              <w:rPr>
                <w:rFonts w:hint="eastAsia" w:asciiTheme="majorEastAsia" w:hAnsiTheme="majorEastAsia" w:eastAsiaTheme="majorEastAsia" w:cstheme="majorEastAsia"/>
                <w:snapToGrid w:val="0"/>
                <w:color w:val="auto"/>
                <w:kern w:val="0"/>
                <w:sz w:val="24"/>
                <w:highlight w:val="none"/>
              </w:rPr>
              <w:t>评标委员会成员由采购人代表和有关技术、经济等方面的专家组成，其中技术、经济等方面的专家不少于成员总数的三分之二。评标委员会成员人数为单数。评标委员会遵循公平公正、科学择优、经济有效的原则，按照评标程序，依法依规，根据采购文件所列评标标准，独立、认真、负责地开展评审工作，提出评审意见，并对自己的评审意见承担责任。</w:t>
            </w:r>
          </w:p>
          <w:p w14:paraId="471C204A">
            <w:pPr>
              <w:pStyle w:val="8"/>
              <w:spacing w:line="360" w:lineRule="auto"/>
              <w:rPr>
                <w:rFonts w:asciiTheme="majorEastAsia" w:hAnsiTheme="majorEastAsia" w:eastAsiaTheme="majorEastAsia" w:cstheme="majorEastAsia"/>
                <w:snapToGrid w:val="0"/>
                <w:color w:val="auto"/>
                <w:kern w:val="0"/>
                <w:highlight w:val="none"/>
              </w:rPr>
            </w:pPr>
            <w:r>
              <w:rPr>
                <w:rFonts w:hint="eastAsia" w:asciiTheme="majorEastAsia" w:hAnsiTheme="majorEastAsia" w:eastAsiaTheme="majorEastAsia" w:cstheme="majorEastAsia"/>
                <w:snapToGrid w:val="0"/>
                <w:color w:val="auto"/>
                <w:kern w:val="0"/>
                <w:sz w:val="24"/>
                <w:highlight w:val="none"/>
              </w:rPr>
              <w:t>本项目评标委员会成员由5人组成，其中，采购人代表1人，在贵州省综合评标专家库中随机抽取有关技术、经济等方面4人，共5人组成。</w:t>
            </w:r>
          </w:p>
        </w:tc>
      </w:tr>
      <w:tr w14:paraId="0FD9B67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070" w:type="dxa"/>
            <w:vAlign w:val="center"/>
          </w:tcPr>
          <w:p w14:paraId="6491490E">
            <w:pPr>
              <w:pStyle w:val="8"/>
              <w:spacing w:line="360" w:lineRule="auto"/>
              <w:jc w:val="center"/>
              <w:rPr>
                <w:rFonts w:asciiTheme="majorEastAsia" w:hAnsiTheme="majorEastAsia" w:eastAsiaTheme="majorEastAsia" w:cstheme="majorEastAsia"/>
                <w:snapToGrid w:val="0"/>
                <w:color w:val="auto"/>
                <w:kern w:val="0"/>
                <w:highlight w:val="none"/>
              </w:rPr>
            </w:pPr>
            <w:r>
              <w:rPr>
                <w:rFonts w:hint="eastAsia" w:asciiTheme="majorEastAsia" w:hAnsiTheme="majorEastAsia" w:eastAsiaTheme="majorEastAsia" w:cstheme="majorEastAsia"/>
                <w:snapToGrid w:val="0"/>
                <w:color w:val="auto"/>
                <w:kern w:val="0"/>
                <w:sz w:val="24"/>
                <w:highlight w:val="none"/>
              </w:rPr>
              <w:t>24</w:t>
            </w:r>
          </w:p>
        </w:tc>
        <w:tc>
          <w:tcPr>
            <w:tcW w:w="1968" w:type="dxa"/>
          </w:tcPr>
          <w:p w14:paraId="48AD1F5C">
            <w:pPr>
              <w:spacing w:before="159" w:line="360" w:lineRule="auto"/>
              <w:jc w:val="center"/>
              <w:rPr>
                <w:rFonts w:asciiTheme="majorEastAsia" w:hAnsiTheme="majorEastAsia" w:eastAsiaTheme="majorEastAsia" w:cstheme="majorEastAsia"/>
                <w:snapToGrid w:val="0"/>
                <w:color w:val="auto"/>
                <w:kern w:val="0"/>
                <w:highlight w:val="none"/>
              </w:rPr>
            </w:pPr>
            <w:r>
              <w:rPr>
                <w:rFonts w:hint="eastAsia" w:asciiTheme="majorEastAsia" w:hAnsiTheme="majorEastAsia" w:eastAsiaTheme="majorEastAsia" w:cstheme="majorEastAsia"/>
                <w:snapToGrid w:val="0"/>
                <w:color w:val="auto"/>
                <w:kern w:val="0"/>
                <w:sz w:val="24"/>
                <w:highlight w:val="none"/>
              </w:rPr>
              <w:t>评标方法</w:t>
            </w:r>
          </w:p>
        </w:tc>
        <w:tc>
          <w:tcPr>
            <w:tcW w:w="6531" w:type="dxa"/>
          </w:tcPr>
          <w:p w14:paraId="52934CB2">
            <w:pPr>
              <w:spacing w:before="159" w:line="360" w:lineRule="auto"/>
              <w:rPr>
                <w:rFonts w:asciiTheme="majorEastAsia" w:hAnsiTheme="majorEastAsia" w:eastAsiaTheme="majorEastAsia" w:cstheme="majorEastAsia"/>
                <w:snapToGrid w:val="0"/>
                <w:color w:val="auto"/>
                <w:kern w:val="0"/>
                <w:highlight w:val="none"/>
              </w:rPr>
            </w:pPr>
            <w:r>
              <w:rPr>
                <w:rFonts w:hint="eastAsia" w:asciiTheme="majorEastAsia" w:hAnsiTheme="majorEastAsia" w:eastAsiaTheme="majorEastAsia" w:cstheme="majorEastAsia"/>
                <w:snapToGrid w:val="0"/>
                <w:color w:val="auto"/>
                <w:kern w:val="0"/>
                <w:sz w:val="24"/>
                <w:highlight w:val="none"/>
              </w:rPr>
              <w:t>综合评分法</w:t>
            </w:r>
          </w:p>
        </w:tc>
      </w:tr>
      <w:tr w14:paraId="7D58CFF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070" w:type="dxa"/>
            <w:vAlign w:val="center"/>
          </w:tcPr>
          <w:p w14:paraId="7237599C">
            <w:pPr>
              <w:pStyle w:val="8"/>
              <w:spacing w:line="360" w:lineRule="auto"/>
              <w:jc w:val="center"/>
              <w:rPr>
                <w:rFonts w:asciiTheme="majorEastAsia" w:hAnsiTheme="majorEastAsia" w:eastAsiaTheme="majorEastAsia" w:cstheme="majorEastAsia"/>
                <w:snapToGrid w:val="0"/>
                <w:color w:val="auto"/>
                <w:kern w:val="0"/>
                <w:highlight w:val="none"/>
              </w:rPr>
            </w:pPr>
            <w:r>
              <w:rPr>
                <w:rFonts w:hint="eastAsia" w:asciiTheme="majorEastAsia" w:hAnsiTheme="majorEastAsia" w:eastAsiaTheme="majorEastAsia" w:cstheme="majorEastAsia"/>
                <w:snapToGrid w:val="0"/>
                <w:color w:val="auto"/>
                <w:kern w:val="0"/>
                <w:sz w:val="24"/>
                <w:highlight w:val="none"/>
              </w:rPr>
              <w:t>25</w:t>
            </w:r>
          </w:p>
        </w:tc>
        <w:tc>
          <w:tcPr>
            <w:tcW w:w="1968" w:type="dxa"/>
            <w:vAlign w:val="center"/>
          </w:tcPr>
          <w:p w14:paraId="5BEA639B">
            <w:pPr>
              <w:spacing w:before="78" w:line="360" w:lineRule="auto"/>
              <w:jc w:val="center"/>
              <w:rPr>
                <w:rFonts w:asciiTheme="majorEastAsia" w:hAnsiTheme="majorEastAsia" w:eastAsiaTheme="majorEastAsia" w:cstheme="majorEastAsia"/>
                <w:snapToGrid w:val="0"/>
                <w:color w:val="auto"/>
                <w:kern w:val="0"/>
                <w:highlight w:val="none"/>
              </w:rPr>
            </w:pPr>
            <w:r>
              <w:rPr>
                <w:rFonts w:hint="eastAsia" w:asciiTheme="majorEastAsia" w:hAnsiTheme="majorEastAsia" w:eastAsiaTheme="majorEastAsia" w:cstheme="majorEastAsia"/>
                <w:snapToGrid w:val="0"/>
                <w:color w:val="auto"/>
                <w:kern w:val="0"/>
                <w:sz w:val="24"/>
                <w:highlight w:val="none"/>
              </w:rPr>
              <w:t>合同授予</w:t>
            </w:r>
          </w:p>
        </w:tc>
        <w:tc>
          <w:tcPr>
            <w:tcW w:w="6531" w:type="dxa"/>
            <w:vAlign w:val="center"/>
          </w:tcPr>
          <w:p w14:paraId="1B2450DD">
            <w:pPr>
              <w:pStyle w:val="8"/>
              <w:spacing w:line="360" w:lineRule="auto"/>
              <w:rPr>
                <w:rFonts w:hint="eastAsia" w:asciiTheme="majorEastAsia" w:hAnsiTheme="majorEastAsia" w:eastAsiaTheme="majorEastAsia" w:cstheme="majorEastAsia"/>
                <w:snapToGrid w:val="0"/>
                <w:color w:val="auto"/>
                <w:kern w:val="0"/>
                <w:sz w:val="24"/>
                <w:highlight w:val="none"/>
              </w:rPr>
            </w:pPr>
            <w:r>
              <w:rPr>
                <w:rFonts w:hint="eastAsia" w:asciiTheme="majorEastAsia" w:hAnsiTheme="majorEastAsia" w:eastAsiaTheme="majorEastAsia" w:cstheme="majorEastAsia"/>
                <w:snapToGrid w:val="0"/>
                <w:color w:val="auto"/>
                <w:kern w:val="0"/>
                <w:sz w:val="24"/>
                <w:highlight w:val="none"/>
              </w:rPr>
              <w:t>1、采购人将把合同授予被确定为实质上响应采购文件的要求并有履行合同能力的排名最靠前的供应商。</w:t>
            </w:r>
          </w:p>
          <w:p w14:paraId="6CCCC870">
            <w:pPr>
              <w:pStyle w:val="8"/>
              <w:spacing w:line="360" w:lineRule="auto"/>
              <w:rPr>
                <w:rFonts w:hint="eastAsia" w:asciiTheme="majorEastAsia" w:hAnsiTheme="majorEastAsia" w:eastAsiaTheme="majorEastAsia" w:cstheme="majorEastAsia"/>
                <w:snapToGrid w:val="0"/>
                <w:color w:val="auto"/>
                <w:kern w:val="0"/>
                <w:sz w:val="24"/>
                <w:highlight w:val="none"/>
              </w:rPr>
            </w:pPr>
            <w:r>
              <w:rPr>
                <w:rFonts w:hint="eastAsia" w:asciiTheme="majorEastAsia" w:hAnsiTheme="majorEastAsia" w:eastAsiaTheme="majorEastAsia" w:cstheme="majorEastAsia"/>
                <w:snapToGrid w:val="0"/>
                <w:color w:val="auto"/>
                <w:kern w:val="0"/>
                <w:sz w:val="24"/>
                <w:highlight w:val="none"/>
              </w:rPr>
              <w:t>2、采购人按照评标委员会推荐的成交候选人顺序确定成交人。</w:t>
            </w:r>
          </w:p>
          <w:p w14:paraId="018993E5">
            <w:pPr>
              <w:pStyle w:val="8"/>
              <w:spacing w:line="360" w:lineRule="auto"/>
              <w:rPr>
                <w:rFonts w:hint="eastAsia" w:asciiTheme="majorEastAsia" w:hAnsiTheme="majorEastAsia" w:eastAsiaTheme="majorEastAsia" w:cstheme="majorEastAsia"/>
                <w:snapToGrid w:val="0"/>
                <w:color w:val="auto"/>
                <w:kern w:val="0"/>
                <w:sz w:val="24"/>
                <w:highlight w:val="none"/>
              </w:rPr>
            </w:pPr>
            <w:r>
              <w:rPr>
                <w:rFonts w:hint="eastAsia" w:asciiTheme="majorEastAsia" w:hAnsiTheme="majorEastAsia" w:eastAsiaTheme="majorEastAsia" w:cstheme="majorEastAsia"/>
                <w:snapToGrid w:val="0"/>
                <w:color w:val="auto"/>
                <w:kern w:val="0"/>
                <w:sz w:val="24"/>
                <w:highlight w:val="none"/>
              </w:rPr>
              <w:t>3、出现下列情形之一的，采购人可以与排位在成交人之后第一位的成交候选人签订政府采购合同，也可以重新组织采购。</w:t>
            </w:r>
          </w:p>
          <w:p w14:paraId="0E18D1DF">
            <w:pPr>
              <w:pStyle w:val="8"/>
              <w:spacing w:line="360" w:lineRule="auto"/>
              <w:rPr>
                <w:rFonts w:hint="eastAsia" w:asciiTheme="majorEastAsia" w:hAnsiTheme="majorEastAsia" w:eastAsiaTheme="majorEastAsia" w:cstheme="majorEastAsia"/>
                <w:snapToGrid w:val="0"/>
                <w:color w:val="auto"/>
                <w:kern w:val="0"/>
                <w:sz w:val="24"/>
                <w:highlight w:val="none"/>
              </w:rPr>
            </w:pPr>
            <w:r>
              <w:rPr>
                <w:rFonts w:hint="eastAsia" w:asciiTheme="majorEastAsia" w:hAnsiTheme="majorEastAsia" w:eastAsiaTheme="majorEastAsia" w:cstheme="majorEastAsia"/>
                <w:snapToGrid w:val="0"/>
                <w:color w:val="auto"/>
                <w:kern w:val="0"/>
                <w:sz w:val="24"/>
                <w:highlight w:val="none"/>
              </w:rPr>
              <w:t>3.1排名第一的候选人，因自身原因放弃成交资格或因不可抗力不能履行合同的；</w:t>
            </w:r>
          </w:p>
          <w:p w14:paraId="1EFB6D5C">
            <w:pPr>
              <w:pStyle w:val="8"/>
              <w:spacing w:line="360" w:lineRule="auto"/>
              <w:rPr>
                <w:rFonts w:hint="eastAsia" w:asciiTheme="majorEastAsia" w:hAnsiTheme="majorEastAsia" w:eastAsiaTheme="majorEastAsia" w:cstheme="majorEastAsia"/>
                <w:snapToGrid w:val="0"/>
                <w:color w:val="auto"/>
                <w:kern w:val="0"/>
                <w:sz w:val="24"/>
                <w:highlight w:val="none"/>
              </w:rPr>
            </w:pPr>
            <w:r>
              <w:rPr>
                <w:rFonts w:hint="eastAsia" w:asciiTheme="majorEastAsia" w:hAnsiTheme="majorEastAsia" w:eastAsiaTheme="majorEastAsia" w:cstheme="majorEastAsia"/>
                <w:snapToGrid w:val="0"/>
                <w:color w:val="auto"/>
                <w:kern w:val="0"/>
                <w:sz w:val="24"/>
                <w:highlight w:val="none"/>
              </w:rPr>
              <w:t>3.2经质疑，评标委员会或采购代理机构审查确认因成交人在本次采购活动中存在违法违规行为或其他原因使质疑成立的；</w:t>
            </w:r>
          </w:p>
          <w:p w14:paraId="4FC6D005">
            <w:pPr>
              <w:pStyle w:val="8"/>
              <w:spacing w:line="360" w:lineRule="auto"/>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snapToGrid w:val="0"/>
                <w:color w:val="auto"/>
                <w:kern w:val="0"/>
                <w:sz w:val="24"/>
                <w:highlight w:val="none"/>
              </w:rPr>
              <w:t>3.3法律法规规定的其他情形。</w:t>
            </w:r>
          </w:p>
        </w:tc>
      </w:tr>
      <w:tr w14:paraId="14D5FC0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070" w:type="dxa"/>
            <w:vAlign w:val="center"/>
          </w:tcPr>
          <w:p w14:paraId="5CA6221A">
            <w:pPr>
              <w:pStyle w:val="8"/>
              <w:spacing w:line="360" w:lineRule="auto"/>
              <w:jc w:val="center"/>
              <w:rPr>
                <w:rFonts w:asciiTheme="majorEastAsia" w:hAnsiTheme="majorEastAsia" w:eastAsiaTheme="majorEastAsia" w:cstheme="majorEastAsia"/>
                <w:snapToGrid w:val="0"/>
                <w:color w:val="auto"/>
                <w:kern w:val="0"/>
                <w:highlight w:val="none"/>
              </w:rPr>
            </w:pPr>
            <w:r>
              <w:rPr>
                <w:rFonts w:hint="eastAsia" w:asciiTheme="majorEastAsia" w:hAnsiTheme="majorEastAsia" w:eastAsiaTheme="majorEastAsia" w:cstheme="majorEastAsia"/>
                <w:snapToGrid w:val="0"/>
                <w:color w:val="auto"/>
                <w:kern w:val="0"/>
                <w:sz w:val="24"/>
                <w:highlight w:val="none"/>
              </w:rPr>
              <w:t>26</w:t>
            </w:r>
          </w:p>
        </w:tc>
        <w:tc>
          <w:tcPr>
            <w:tcW w:w="1968" w:type="dxa"/>
            <w:vAlign w:val="center"/>
          </w:tcPr>
          <w:p w14:paraId="08866F3E">
            <w:pPr>
              <w:spacing w:before="78" w:line="360" w:lineRule="auto"/>
              <w:jc w:val="center"/>
              <w:rPr>
                <w:rFonts w:asciiTheme="majorEastAsia" w:hAnsiTheme="majorEastAsia" w:eastAsiaTheme="majorEastAsia" w:cstheme="majorEastAsia"/>
                <w:snapToGrid w:val="0"/>
                <w:color w:val="auto"/>
                <w:kern w:val="0"/>
                <w:highlight w:val="none"/>
              </w:rPr>
            </w:pPr>
            <w:r>
              <w:rPr>
                <w:rFonts w:hint="eastAsia" w:asciiTheme="majorEastAsia" w:hAnsiTheme="majorEastAsia" w:eastAsiaTheme="majorEastAsia" w:cstheme="majorEastAsia"/>
                <w:snapToGrid w:val="0"/>
                <w:color w:val="auto"/>
                <w:kern w:val="0"/>
                <w:sz w:val="24"/>
                <w:highlight w:val="none"/>
              </w:rPr>
              <w:t>投标有效期</w:t>
            </w:r>
          </w:p>
        </w:tc>
        <w:tc>
          <w:tcPr>
            <w:tcW w:w="6531" w:type="dxa"/>
            <w:vAlign w:val="center"/>
          </w:tcPr>
          <w:p w14:paraId="300EEFC5">
            <w:pPr>
              <w:spacing w:before="149" w:line="360" w:lineRule="auto"/>
              <w:ind w:right="110" w:firstLine="244" w:firstLineChars="100"/>
              <w:rPr>
                <w:rFonts w:asciiTheme="majorEastAsia" w:hAnsiTheme="majorEastAsia" w:eastAsiaTheme="majorEastAsia" w:cstheme="majorEastAsia"/>
                <w:snapToGrid w:val="0"/>
                <w:color w:val="auto"/>
                <w:kern w:val="0"/>
                <w:highlight w:val="none"/>
              </w:rPr>
            </w:pPr>
            <w:r>
              <w:rPr>
                <w:rFonts w:hint="eastAsia" w:asciiTheme="majorEastAsia" w:hAnsiTheme="majorEastAsia" w:eastAsiaTheme="majorEastAsia" w:cstheme="majorEastAsia"/>
                <w:snapToGrid w:val="0"/>
                <w:color w:val="auto"/>
                <w:kern w:val="0"/>
                <w:sz w:val="24"/>
                <w:highlight w:val="none"/>
              </w:rPr>
              <w:t>60天</w:t>
            </w:r>
          </w:p>
        </w:tc>
      </w:tr>
      <w:tr w14:paraId="59C66D8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51" w:hRule="atLeast"/>
          <w:jc w:val="center"/>
        </w:trPr>
        <w:tc>
          <w:tcPr>
            <w:tcW w:w="9569" w:type="dxa"/>
            <w:gridSpan w:val="3"/>
            <w:vAlign w:val="center"/>
          </w:tcPr>
          <w:p w14:paraId="367F173F">
            <w:pPr>
              <w:pStyle w:val="8"/>
              <w:spacing w:line="360" w:lineRule="auto"/>
              <w:ind w:firstLine="482"/>
              <w:jc w:val="center"/>
              <w:rPr>
                <w:rFonts w:asciiTheme="majorEastAsia" w:hAnsiTheme="majorEastAsia" w:eastAsiaTheme="majorEastAsia" w:cstheme="majorEastAsia"/>
                <w:b/>
                <w:bCs/>
                <w:snapToGrid w:val="0"/>
                <w:color w:val="auto"/>
                <w:kern w:val="0"/>
                <w:highlight w:val="none"/>
              </w:rPr>
            </w:pPr>
            <w:r>
              <w:rPr>
                <w:rFonts w:hint="eastAsia" w:asciiTheme="majorEastAsia" w:hAnsiTheme="majorEastAsia" w:eastAsiaTheme="majorEastAsia" w:cstheme="majorEastAsia"/>
                <w:b/>
                <w:bCs/>
                <w:snapToGrid w:val="0"/>
                <w:color w:val="auto"/>
                <w:kern w:val="0"/>
                <w:sz w:val="24"/>
                <w:highlight w:val="none"/>
              </w:rPr>
              <w:t>需要补充的其他内容</w:t>
            </w:r>
          </w:p>
        </w:tc>
      </w:tr>
      <w:tr w14:paraId="64EB938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070" w:type="dxa"/>
            <w:vAlign w:val="center"/>
          </w:tcPr>
          <w:p w14:paraId="414EE95E">
            <w:pPr>
              <w:pStyle w:val="8"/>
              <w:spacing w:line="360" w:lineRule="auto"/>
              <w:jc w:val="center"/>
              <w:rPr>
                <w:rFonts w:asciiTheme="majorEastAsia" w:hAnsiTheme="majorEastAsia" w:eastAsiaTheme="majorEastAsia" w:cstheme="majorEastAsia"/>
                <w:snapToGrid w:val="0"/>
                <w:color w:val="auto"/>
                <w:kern w:val="0"/>
                <w:highlight w:val="none"/>
              </w:rPr>
            </w:pPr>
            <w:r>
              <w:rPr>
                <w:rFonts w:hint="eastAsia" w:asciiTheme="majorEastAsia" w:hAnsiTheme="majorEastAsia" w:eastAsiaTheme="majorEastAsia" w:cstheme="majorEastAsia"/>
                <w:snapToGrid w:val="0"/>
                <w:color w:val="auto"/>
                <w:kern w:val="0"/>
                <w:sz w:val="24"/>
                <w:highlight w:val="none"/>
              </w:rPr>
              <w:t>28</w:t>
            </w:r>
          </w:p>
        </w:tc>
        <w:tc>
          <w:tcPr>
            <w:tcW w:w="8499" w:type="dxa"/>
            <w:gridSpan w:val="2"/>
            <w:vAlign w:val="center"/>
          </w:tcPr>
          <w:p w14:paraId="6C5788A2">
            <w:pPr>
              <w:pStyle w:val="8"/>
              <w:spacing w:line="360" w:lineRule="auto"/>
              <w:rPr>
                <w:rFonts w:hint="eastAsia" w:asciiTheme="majorEastAsia" w:hAnsiTheme="majorEastAsia" w:eastAsiaTheme="majorEastAsia" w:cstheme="majorEastAsia"/>
                <w:snapToGrid w:val="0"/>
                <w:color w:val="auto"/>
                <w:kern w:val="0"/>
                <w:sz w:val="24"/>
                <w:highlight w:val="none"/>
              </w:rPr>
            </w:pPr>
            <w:r>
              <w:rPr>
                <w:rFonts w:hint="eastAsia" w:asciiTheme="majorEastAsia" w:hAnsiTheme="majorEastAsia" w:eastAsiaTheme="majorEastAsia" w:cstheme="majorEastAsia"/>
                <w:snapToGrid w:val="0"/>
                <w:color w:val="auto"/>
                <w:kern w:val="0"/>
                <w:sz w:val="24"/>
                <w:highlight w:val="none"/>
              </w:rPr>
              <w:t>招标代理服务费：本项目招标代理服务费由中标人支付，代理费金额为19000.00元。</w:t>
            </w:r>
          </w:p>
          <w:p w14:paraId="7521B1C0">
            <w:pPr>
              <w:pStyle w:val="8"/>
              <w:spacing w:line="360" w:lineRule="auto"/>
              <w:rPr>
                <w:rFonts w:ascii="宋体" w:hAnsi="宋体" w:cs="宋体"/>
                <w:snapToGrid w:val="0"/>
                <w:kern w:val="0"/>
                <w:sz w:val="24"/>
              </w:rPr>
            </w:pPr>
            <w:r>
              <w:rPr>
                <w:rFonts w:hint="eastAsia" w:ascii="宋体" w:hAnsi="宋体" w:cs="宋体"/>
                <w:snapToGrid w:val="0"/>
                <w:kern w:val="0"/>
                <w:sz w:val="24"/>
              </w:rPr>
              <w:t>结 算 帐 户</w:t>
            </w:r>
          </w:p>
          <w:p w14:paraId="28ACF92E">
            <w:pPr>
              <w:pStyle w:val="8"/>
              <w:spacing w:line="360" w:lineRule="auto"/>
              <w:rPr>
                <w:rFonts w:ascii="宋体" w:hAnsi="宋体" w:cs="宋体"/>
                <w:snapToGrid w:val="0"/>
                <w:kern w:val="0"/>
                <w:sz w:val="24"/>
              </w:rPr>
            </w:pPr>
            <w:r>
              <w:rPr>
                <w:rFonts w:hint="eastAsia" w:ascii="宋体" w:hAnsi="宋体" w:cs="宋体"/>
                <w:snapToGrid w:val="0"/>
                <w:kern w:val="0"/>
                <w:sz w:val="24"/>
              </w:rPr>
              <w:t>开户名称：</w:t>
            </w:r>
            <w:r>
              <w:rPr>
                <w:rFonts w:hint="eastAsia" w:ascii="Arial" w:hAnsi="Arial" w:cs="Arial"/>
                <w:kern w:val="0"/>
                <w:sz w:val="24"/>
                <w:szCs w:val="18"/>
              </w:rPr>
              <w:t xml:space="preserve"> 贵州远胜博瑞项目管理咨询有限公司</w:t>
            </w:r>
            <w:r>
              <w:rPr>
                <w:rFonts w:hint="eastAsia" w:ascii="宋体" w:hAnsi="宋体" w:cs="宋体"/>
                <w:sz w:val="24"/>
              </w:rPr>
              <w:t xml:space="preserve"> </w:t>
            </w:r>
          </w:p>
          <w:p w14:paraId="0EE018E1">
            <w:pPr>
              <w:pStyle w:val="8"/>
              <w:spacing w:line="360" w:lineRule="auto"/>
              <w:rPr>
                <w:rFonts w:ascii="Arial" w:hAnsi="Arial" w:cs="Arial"/>
                <w:kern w:val="0"/>
                <w:sz w:val="24"/>
                <w:szCs w:val="18"/>
              </w:rPr>
            </w:pPr>
            <w:r>
              <w:rPr>
                <w:rFonts w:hint="eastAsia" w:ascii="宋体" w:hAnsi="宋体" w:cs="宋体"/>
                <w:snapToGrid w:val="0"/>
                <w:kern w:val="0"/>
                <w:sz w:val="24"/>
              </w:rPr>
              <w:t>开户银行：中国农业银行股份有限公司小河盘江路支行</w:t>
            </w:r>
            <w:r>
              <w:rPr>
                <w:rFonts w:hint="eastAsia" w:ascii="Arial" w:hAnsi="Arial" w:cs="Arial"/>
                <w:kern w:val="0"/>
                <w:sz w:val="24"/>
                <w:szCs w:val="18"/>
              </w:rPr>
              <w:t xml:space="preserve"> </w:t>
            </w:r>
          </w:p>
          <w:p w14:paraId="6A759152">
            <w:pPr>
              <w:pStyle w:val="8"/>
              <w:spacing w:line="360" w:lineRule="auto"/>
              <w:rPr>
                <w:rFonts w:asciiTheme="majorEastAsia" w:hAnsiTheme="majorEastAsia" w:eastAsiaTheme="majorEastAsia" w:cstheme="majorEastAsia"/>
                <w:snapToGrid w:val="0"/>
                <w:color w:val="auto"/>
                <w:kern w:val="0"/>
                <w:highlight w:val="none"/>
              </w:rPr>
            </w:pPr>
            <w:r>
              <w:rPr>
                <w:rFonts w:hint="eastAsia" w:ascii="Arial" w:hAnsi="Arial" w:cs="Arial"/>
                <w:kern w:val="0"/>
                <w:sz w:val="24"/>
                <w:szCs w:val="18"/>
              </w:rPr>
              <w:t xml:space="preserve">银行账号：23151001040002169 </w:t>
            </w:r>
          </w:p>
        </w:tc>
      </w:tr>
      <w:tr w14:paraId="24A8054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070" w:type="dxa"/>
            <w:vAlign w:val="center"/>
          </w:tcPr>
          <w:p w14:paraId="32A03334">
            <w:pPr>
              <w:pStyle w:val="8"/>
              <w:spacing w:line="360" w:lineRule="auto"/>
              <w:jc w:val="center"/>
              <w:rPr>
                <w:rFonts w:asciiTheme="majorEastAsia" w:hAnsiTheme="majorEastAsia" w:eastAsiaTheme="majorEastAsia" w:cstheme="majorEastAsia"/>
                <w:snapToGrid w:val="0"/>
                <w:color w:val="auto"/>
                <w:kern w:val="0"/>
                <w:highlight w:val="none"/>
              </w:rPr>
            </w:pPr>
            <w:r>
              <w:rPr>
                <w:rFonts w:hint="eastAsia" w:asciiTheme="majorEastAsia" w:hAnsiTheme="majorEastAsia" w:eastAsiaTheme="majorEastAsia" w:cstheme="majorEastAsia"/>
                <w:snapToGrid w:val="0"/>
                <w:color w:val="auto"/>
                <w:kern w:val="0"/>
                <w:sz w:val="24"/>
                <w:highlight w:val="none"/>
              </w:rPr>
              <w:t>29</w:t>
            </w:r>
          </w:p>
        </w:tc>
        <w:tc>
          <w:tcPr>
            <w:tcW w:w="8499" w:type="dxa"/>
            <w:gridSpan w:val="2"/>
            <w:vAlign w:val="center"/>
          </w:tcPr>
          <w:p w14:paraId="11CE88DF">
            <w:pPr>
              <w:pStyle w:val="8"/>
              <w:spacing w:line="360" w:lineRule="auto"/>
              <w:rPr>
                <w:rFonts w:asciiTheme="majorEastAsia" w:hAnsiTheme="majorEastAsia" w:eastAsiaTheme="majorEastAsia" w:cstheme="majorEastAsia"/>
                <w:snapToGrid w:val="0"/>
                <w:color w:val="auto"/>
                <w:kern w:val="0"/>
                <w:highlight w:val="none"/>
              </w:rPr>
            </w:pPr>
            <w:r>
              <w:rPr>
                <w:rFonts w:hint="eastAsia" w:asciiTheme="majorEastAsia" w:hAnsiTheme="majorEastAsia" w:eastAsiaTheme="majorEastAsia" w:cstheme="majorEastAsia"/>
                <w:snapToGrid w:val="0"/>
                <w:color w:val="auto"/>
                <w:kern w:val="0"/>
                <w:sz w:val="24"/>
                <w:highlight w:val="none"/>
              </w:rPr>
              <w:t>根据《政府采购促进中小企业发展管理办法》财库〔2020〕46号规定，本项目</w:t>
            </w:r>
            <w:r>
              <w:rPr>
                <w:rFonts w:hint="eastAsia" w:asciiTheme="majorEastAsia" w:hAnsiTheme="majorEastAsia" w:eastAsiaTheme="majorEastAsia" w:cstheme="majorEastAsia"/>
                <w:b/>
                <w:bCs/>
                <w:snapToGrid w:val="0"/>
                <w:color w:val="auto"/>
                <w:kern w:val="0"/>
                <w:sz w:val="24"/>
                <w:highlight w:val="none"/>
                <w:u w:val="single"/>
              </w:rPr>
              <w:t>非专门</w:t>
            </w:r>
            <w:r>
              <w:rPr>
                <w:rFonts w:hint="eastAsia" w:asciiTheme="majorEastAsia" w:hAnsiTheme="majorEastAsia" w:eastAsiaTheme="majorEastAsia" w:cstheme="majorEastAsia"/>
                <w:snapToGrid w:val="0"/>
                <w:color w:val="auto"/>
                <w:kern w:val="0"/>
                <w:sz w:val="24"/>
                <w:highlight w:val="none"/>
              </w:rPr>
              <w:t>面向中小企业采购。</w:t>
            </w:r>
          </w:p>
          <w:p w14:paraId="73E2233C">
            <w:pPr>
              <w:pStyle w:val="8"/>
              <w:spacing w:line="360" w:lineRule="auto"/>
              <w:rPr>
                <w:rFonts w:asciiTheme="majorEastAsia" w:hAnsiTheme="majorEastAsia" w:eastAsiaTheme="majorEastAsia" w:cstheme="majorEastAsia"/>
                <w:snapToGrid w:val="0"/>
                <w:color w:val="auto"/>
                <w:kern w:val="0"/>
                <w:highlight w:val="none"/>
              </w:rPr>
            </w:pPr>
            <w:r>
              <w:rPr>
                <w:rFonts w:hint="eastAsia" w:asciiTheme="majorEastAsia" w:hAnsiTheme="majorEastAsia" w:eastAsiaTheme="majorEastAsia" w:cstheme="majorEastAsia"/>
                <w:snapToGrid w:val="0"/>
                <w:color w:val="auto"/>
                <w:kern w:val="0"/>
                <w:sz w:val="24"/>
                <w:highlight w:val="none"/>
              </w:rPr>
              <w:t>特别提示：</w:t>
            </w:r>
          </w:p>
          <w:p w14:paraId="43F68988">
            <w:pPr>
              <w:pStyle w:val="8"/>
              <w:spacing w:line="360" w:lineRule="auto"/>
              <w:ind w:firstLine="480"/>
              <w:rPr>
                <w:rFonts w:asciiTheme="majorEastAsia" w:hAnsiTheme="majorEastAsia" w:eastAsiaTheme="majorEastAsia" w:cstheme="majorEastAsia"/>
                <w:snapToGrid w:val="0"/>
                <w:color w:val="auto"/>
                <w:kern w:val="0"/>
                <w:highlight w:val="none"/>
              </w:rPr>
            </w:pPr>
            <w:r>
              <w:rPr>
                <w:rFonts w:hint="eastAsia" w:asciiTheme="majorEastAsia" w:hAnsiTheme="majorEastAsia" w:eastAsiaTheme="majorEastAsia" w:cstheme="majorEastAsia"/>
                <w:snapToGrid w:val="0"/>
                <w:color w:val="auto"/>
                <w:kern w:val="0"/>
                <w:sz w:val="24"/>
                <w:highlight w:val="none"/>
              </w:rPr>
              <w:t>1、本项目采购标的行业为</w:t>
            </w:r>
            <w:r>
              <w:rPr>
                <w:rFonts w:hint="eastAsia" w:asciiTheme="majorEastAsia" w:hAnsiTheme="majorEastAsia" w:eastAsiaTheme="majorEastAsia" w:cstheme="majorEastAsia"/>
                <w:snapToGrid w:val="0"/>
                <w:color w:val="auto"/>
                <w:kern w:val="0"/>
                <w:sz w:val="24"/>
                <w:highlight w:val="none"/>
                <w:u w:val="single"/>
              </w:rPr>
              <w:t>软件和信息技术服务业</w:t>
            </w:r>
            <w:r>
              <w:rPr>
                <w:rFonts w:hint="eastAsia" w:asciiTheme="majorEastAsia" w:hAnsiTheme="majorEastAsia" w:eastAsiaTheme="majorEastAsia" w:cstheme="majorEastAsia"/>
                <w:snapToGrid w:val="0"/>
                <w:color w:val="auto"/>
                <w:kern w:val="0"/>
                <w:sz w:val="24"/>
                <w:highlight w:val="none"/>
              </w:rPr>
              <w:t>；</w:t>
            </w:r>
          </w:p>
          <w:p w14:paraId="2148CA57">
            <w:pPr>
              <w:pStyle w:val="8"/>
              <w:spacing w:line="360" w:lineRule="auto"/>
              <w:ind w:firstLine="480"/>
              <w:rPr>
                <w:rFonts w:asciiTheme="majorEastAsia" w:hAnsiTheme="majorEastAsia" w:eastAsiaTheme="majorEastAsia" w:cstheme="majorEastAsia"/>
                <w:snapToGrid w:val="0"/>
                <w:color w:val="auto"/>
                <w:kern w:val="0"/>
                <w:highlight w:val="none"/>
              </w:rPr>
            </w:pPr>
            <w:r>
              <w:rPr>
                <w:rFonts w:hint="eastAsia" w:asciiTheme="majorEastAsia" w:hAnsiTheme="majorEastAsia" w:eastAsiaTheme="majorEastAsia" w:cstheme="majorEastAsia"/>
                <w:snapToGrid w:val="0"/>
                <w:color w:val="auto"/>
                <w:kern w:val="0"/>
                <w:sz w:val="24"/>
                <w:highlight w:val="none"/>
              </w:rPr>
              <w:t>2、如采购项目或品目涉及中小企业采购的，采购文件应当遵守《政府采购促进中小企业发展管理办法》财库〔2020〕46号第十二条规定。</w:t>
            </w:r>
          </w:p>
          <w:p w14:paraId="39F08F6E">
            <w:pPr>
              <w:pStyle w:val="8"/>
              <w:spacing w:line="360" w:lineRule="auto"/>
              <w:ind w:firstLine="480"/>
              <w:rPr>
                <w:rFonts w:asciiTheme="majorEastAsia" w:hAnsiTheme="majorEastAsia" w:eastAsiaTheme="majorEastAsia" w:cstheme="majorEastAsia"/>
                <w:snapToGrid w:val="0"/>
                <w:color w:val="auto"/>
                <w:kern w:val="0"/>
                <w:highlight w:val="none"/>
              </w:rPr>
            </w:pPr>
            <w:r>
              <w:rPr>
                <w:rFonts w:hint="eastAsia" w:asciiTheme="majorEastAsia" w:hAnsiTheme="majorEastAsia" w:eastAsiaTheme="majorEastAsia" w:cstheme="majorEastAsia"/>
                <w:snapToGrid w:val="0"/>
                <w:color w:val="auto"/>
                <w:kern w:val="0"/>
                <w:sz w:val="24"/>
                <w:highlight w:val="none"/>
              </w:rPr>
              <w:t>3、中小企业划分标准依照</w:t>
            </w:r>
          </w:p>
          <w:p w14:paraId="4B337F6A">
            <w:pPr>
              <w:pStyle w:val="8"/>
              <w:spacing w:line="360" w:lineRule="auto"/>
              <w:ind w:firstLine="480"/>
              <w:rPr>
                <w:rFonts w:asciiTheme="majorEastAsia" w:hAnsiTheme="majorEastAsia" w:eastAsiaTheme="majorEastAsia" w:cstheme="majorEastAsia"/>
                <w:snapToGrid w:val="0"/>
                <w:color w:val="auto"/>
                <w:kern w:val="0"/>
                <w:highlight w:val="none"/>
              </w:rPr>
            </w:pPr>
            <w:r>
              <w:rPr>
                <w:rFonts w:hint="eastAsia" w:asciiTheme="majorEastAsia" w:hAnsiTheme="majorEastAsia" w:eastAsiaTheme="majorEastAsia" w:cstheme="majorEastAsia"/>
                <w:snapToGrid w:val="0"/>
                <w:color w:val="auto"/>
                <w:kern w:val="0"/>
                <w:sz w:val="24"/>
                <w:highlight w:val="none"/>
              </w:rPr>
              <w:t>工业和信息化部、国家统计局、国家发展和改革委员会、财政部联合下发的《关于印发中小企业划型标准规定的通知》（工信部联企业《2011》300号）执行，提供中小企业声明函。</w:t>
            </w:r>
          </w:p>
        </w:tc>
      </w:tr>
    </w:tbl>
    <w:p w14:paraId="2D28241C">
      <w:pPr>
        <w:pStyle w:val="8"/>
        <w:tabs>
          <w:tab w:val="left" w:pos="851"/>
        </w:tabs>
        <w:spacing w:line="360" w:lineRule="auto"/>
        <w:ind w:left="-432" w:leftChars="-202"/>
        <w:jc w:val="center"/>
        <w:rPr>
          <w:rFonts w:asciiTheme="majorEastAsia" w:hAnsiTheme="majorEastAsia" w:eastAsiaTheme="majorEastAsia" w:cstheme="majorEastAsia"/>
          <w:color w:val="auto"/>
          <w:sz w:val="36"/>
          <w:highlight w:val="none"/>
        </w:rPr>
      </w:pPr>
    </w:p>
    <w:p w14:paraId="68C8F650">
      <w:pPr>
        <w:pStyle w:val="8"/>
        <w:tabs>
          <w:tab w:val="left" w:pos="851"/>
        </w:tabs>
        <w:spacing w:line="360" w:lineRule="auto"/>
        <w:rPr>
          <w:rFonts w:asciiTheme="majorEastAsia" w:hAnsiTheme="majorEastAsia" w:eastAsiaTheme="majorEastAsia" w:cstheme="majorEastAsia"/>
          <w:color w:val="auto"/>
          <w:sz w:val="36"/>
          <w:highlight w:val="none"/>
        </w:rPr>
      </w:pPr>
    </w:p>
    <w:p w14:paraId="4EB9D09D">
      <w:pPr>
        <w:pStyle w:val="8"/>
        <w:tabs>
          <w:tab w:val="left" w:pos="851"/>
        </w:tabs>
        <w:spacing w:line="360" w:lineRule="auto"/>
        <w:rPr>
          <w:rFonts w:asciiTheme="majorEastAsia" w:hAnsiTheme="majorEastAsia" w:eastAsiaTheme="majorEastAsia" w:cstheme="majorEastAsia"/>
          <w:color w:val="auto"/>
          <w:sz w:val="36"/>
          <w:highlight w:val="none"/>
        </w:rPr>
      </w:pPr>
    </w:p>
    <w:p w14:paraId="2FB77C33">
      <w:pPr>
        <w:pStyle w:val="8"/>
        <w:tabs>
          <w:tab w:val="left" w:pos="851"/>
        </w:tabs>
        <w:spacing w:line="360" w:lineRule="auto"/>
        <w:ind w:left="-432" w:leftChars="-202"/>
        <w:jc w:val="center"/>
        <w:rPr>
          <w:rFonts w:asciiTheme="majorEastAsia" w:hAnsiTheme="majorEastAsia" w:eastAsiaTheme="majorEastAsia" w:cstheme="majorEastAsia"/>
          <w:color w:val="auto"/>
          <w:sz w:val="36"/>
          <w:highlight w:val="none"/>
        </w:rPr>
      </w:pPr>
      <w:r>
        <w:rPr>
          <w:rFonts w:hint="eastAsia" w:asciiTheme="majorEastAsia" w:hAnsiTheme="majorEastAsia" w:eastAsiaTheme="majorEastAsia" w:cstheme="majorEastAsia"/>
          <w:color w:val="auto"/>
          <w:sz w:val="36"/>
          <w:highlight w:val="none"/>
        </w:rPr>
        <w:t>第三章  供应商须知正文</w:t>
      </w:r>
    </w:p>
    <w:p w14:paraId="527F18D3">
      <w:pPr>
        <w:pStyle w:val="8"/>
        <w:spacing w:line="360" w:lineRule="auto"/>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一、供应商须知正文</w:t>
      </w:r>
    </w:p>
    <w:p w14:paraId="3DB9E453">
      <w:pPr>
        <w:pStyle w:val="8"/>
        <w:spacing w:line="360" w:lineRule="auto"/>
        <w:ind w:left="480" w:hanging="488" w:hangingChars="200"/>
        <w:jc w:val="left"/>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（一）资金来源</w:t>
      </w:r>
    </w:p>
    <w:p w14:paraId="3C726992">
      <w:pPr>
        <w:pStyle w:val="8"/>
        <w:spacing w:line="360" w:lineRule="auto"/>
        <w:ind w:left="200" w:leftChars="-135" w:hanging="488" w:hangingChars="200"/>
        <w:jc w:val="left"/>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xml:space="preserve">    1、采购人已落实本项目采购资金。用于支付采购后所签订合同的款项。</w:t>
      </w:r>
    </w:p>
    <w:p w14:paraId="4E175E25">
      <w:pPr>
        <w:pStyle w:val="8"/>
        <w:spacing w:line="360" w:lineRule="auto"/>
        <w:ind w:left="480" w:hanging="488" w:hangingChars="200"/>
        <w:jc w:val="left"/>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（二）采购代理机构（以下简称“代理机构”）是指从事招标代理业务的中介服务机构。本次采购代理机构名称、地址、电话和传真见投标须知前附表。</w:t>
      </w:r>
    </w:p>
    <w:p w14:paraId="2ED32E19">
      <w:pPr>
        <w:pStyle w:val="8"/>
        <w:spacing w:line="360" w:lineRule="auto"/>
        <w:ind w:left="480" w:hanging="488" w:hangingChars="200"/>
        <w:jc w:val="left"/>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（三）合格的投标供应商</w:t>
      </w:r>
    </w:p>
    <w:p w14:paraId="125C213A">
      <w:pPr>
        <w:pStyle w:val="8"/>
        <w:spacing w:line="360" w:lineRule="auto"/>
        <w:ind w:firstLine="488" w:firstLineChars="200"/>
        <w:jc w:val="left"/>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1、投标供应商符合“投标须知前附表”中投标供应商资格要求及采购文件规定的其它资格要求。</w:t>
      </w:r>
    </w:p>
    <w:p w14:paraId="49EF14D4">
      <w:pPr>
        <w:pStyle w:val="8"/>
        <w:spacing w:line="360" w:lineRule="auto"/>
        <w:ind w:firstLine="488" w:firstLineChars="200"/>
        <w:jc w:val="left"/>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2、中华人民共和国境内注册的，具有独立法人资格的投标供应商。</w:t>
      </w:r>
    </w:p>
    <w:p w14:paraId="3CAD3F2F">
      <w:pPr>
        <w:pStyle w:val="8"/>
        <w:spacing w:line="360" w:lineRule="auto"/>
        <w:ind w:firstLine="488" w:firstLineChars="200"/>
        <w:jc w:val="left"/>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3、一个投标供应商只能委托一个代表参与同一项目的投标，一个代表只能代表一个单位。如果投标供应商存在下列互为关联关系的情形之一的，不得同时参加本项目投标。</w:t>
      </w:r>
    </w:p>
    <w:p w14:paraId="511DF7E5">
      <w:pPr>
        <w:pStyle w:val="8"/>
        <w:spacing w:line="360" w:lineRule="auto"/>
        <w:ind w:firstLine="488" w:firstLineChars="200"/>
        <w:jc w:val="left"/>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3.1 单位负责人为同一人或者存在直接控股、管理关系的不同投标供应商，不得参加同一合同项下的政府采购活动。</w:t>
      </w:r>
    </w:p>
    <w:p w14:paraId="2B36EE03">
      <w:pPr>
        <w:pStyle w:val="8"/>
        <w:spacing w:line="360" w:lineRule="auto"/>
        <w:ind w:firstLine="488" w:firstLineChars="200"/>
        <w:jc w:val="left"/>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3.2 为采购项目提供整体设计、规范编制或者项目管理、监理、检测等服务的投标供应商，不得再参加该采购项目的其他采购活动。</w:t>
      </w:r>
    </w:p>
    <w:p w14:paraId="7D41B295">
      <w:pPr>
        <w:pStyle w:val="8"/>
        <w:spacing w:line="360" w:lineRule="auto"/>
        <w:ind w:firstLine="488" w:firstLineChars="200"/>
        <w:jc w:val="left"/>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3.3 如为信息系统采购项目，投标供应商不得为该整体项目或其中分项目前期工作提供过设计、编制、管理等服务的法人及附属单位。</w:t>
      </w:r>
    </w:p>
    <w:p w14:paraId="39DA0CF4">
      <w:pPr>
        <w:pStyle w:val="8"/>
        <w:spacing w:line="360" w:lineRule="auto"/>
        <w:ind w:firstLine="488" w:firstLineChars="200"/>
        <w:jc w:val="left"/>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4、投标供应商不得直接或间接地与采购单位或其附属机构有任何关联。</w:t>
      </w:r>
    </w:p>
    <w:p w14:paraId="415D7F8D">
      <w:pPr>
        <w:pStyle w:val="8"/>
        <w:spacing w:line="360" w:lineRule="auto"/>
        <w:ind w:firstLine="488" w:firstLineChars="200"/>
        <w:jc w:val="left"/>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5、只有在法律上和财务上独立、合法运作并独立于采购单位和采购代理机构符合投标供应商资格要求的供货人才能参加投标。</w:t>
      </w:r>
    </w:p>
    <w:p w14:paraId="6D0747FA">
      <w:pPr>
        <w:pStyle w:val="8"/>
        <w:spacing w:line="360" w:lineRule="auto"/>
        <w:ind w:firstLine="488" w:firstLineChars="200"/>
        <w:jc w:val="left"/>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6、不接受任何投标供应商的选择性投标方案，不允许报两种以上（含两种）的价格，否则，该投标将视为无效投标。</w:t>
      </w:r>
    </w:p>
    <w:p w14:paraId="5422ECA8">
      <w:pPr>
        <w:pStyle w:val="8"/>
        <w:spacing w:line="360" w:lineRule="auto"/>
        <w:ind w:firstLine="488" w:firstLineChars="200"/>
        <w:jc w:val="left"/>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（四）合格的服务</w:t>
      </w:r>
    </w:p>
    <w:p w14:paraId="11327FA3">
      <w:pPr>
        <w:pStyle w:val="8"/>
        <w:spacing w:line="360" w:lineRule="auto"/>
        <w:ind w:firstLine="480"/>
        <w:rPr>
          <w:rFonts w:asciiTheme="majorEastAsia" w:hAnsiTheme="majorEastAsia" w:eastAsiaTheme="majorEastAsia" w:cstheme="majorEastAsia"/>
          <w:snapToGrid w:val="0"/>
          <w:color w:val="auto"/>
          <w:kern w:val="0"/>
          <w:highlight w:val="none"/>
        </w:rPr>
      </w:pPr>
      <w:r>
        <w:rPr>
          <w:rFonts w:hint="eastAsia" w:asciiTheme="majorEastAsia" w:hAnsiTheme="majorEastAsia" w:eastAsiaTheme="majorEastAsia" w:cstheme="majorEastAsia"/>
          <w:snapToGrid w:val="0"/>
          <w:color w:val="auto"/>
          <w:kern w:val="0"/>
          <w:sz w:val="24"/>
          <w:highlight w:val="none"/>
        </w:rPr>
        <w:t>1、本项目采购的服务来源范围要求为中国境内合法供应商提供的服务。</w:t>
      </w:r>
    </w:p>
    <w:p w14:paraId="388FFEBD">
      <w:pPr>
        <w:pStyle w:val="8"/>
        <w:spacing w:line="360" w:lineRule="auto"/>
        <w:ind w:firstLine="480"/>
        <w:rPr>
          <w:rFonts w:asciiTheme="majorEastAsia" w:hAnsiTheme="majorEastAsia" w:eastAsiaTheme="majorEastAsia" w:cstheme="majorEastAsia"/>
          <w:snapToGrid w:val="0"/>
          <w:color w:val="auto"/>
          <w:kern w:val="0"/>
          <w:highlight w:val="none"/>
        </w:rPr>
      </w:pPr>
      <w:r>
        <w:rPr>
          <w:rFonts w:hint="eastAsia" w:asciiTheme="majorEastAsia" w:hAnsiTheme="majorEastAsia" w:eastAsiaTheme="majorEastAsia" w:cstheme="majorEastAsia"/>
          <w:snapToGrid w:val="0"/>
          <w:color w:val="auto"/>
          <w:kern w:val="0"/>
          <w:sz w:val="24"/>
          <w:highlight w:val="none"/>
        </w:rPr>
        <w:t>2、必须满足本采购文件第五章“采购需求”。</w:t>
      </w:r>
    </w:p>
    <w:p w14:paraId="6EF7333D">
      <w:pPr>
        <w:pStyle w:val="8"/>
        <w:spacing w:line="360" w:lineRule="auto"/>
        <w:ind w:firstLine="48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snapToGrid w:val="0"/>
          <w:color w:val="auto"/>
          <w:kern w:val="0"/>
          <w:sz w:val="24"/>
          <w:highlight w:val="none"/>
        </w:rPr>
        <w:t>3、供应商应保证在承诺的服务期内实施相应的售后服务承诺。</w:t>
      </w:r>
    </w:p>
    <w:p w14:paraId="078800EF">
      <w:pPr>
        <w:pStyle w:val="8"/>
        <w:spacing w:line="360" w:lineRule="auto"/>
        <w:ind w:firstLine="488" w:firstLineChars="200"/>
        <w:jc w:val="left"/>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（五）投标费用</w:t>
      </w:r>
    </w:p>
    <w:p w14:paraId="7C0308A8">
      <w:pPr>
        <w:pStyle w:val="8"/>
        <w:spacing w:line="360" w:lineRule="auto"/>
        <w:ind w:firstLine="488" w:firstLineChars="200"/>
        <w:jc w:val="left"/>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1、投标供应商应承担所有与准备和参加投标有关的费用。不论投标的结果如何，采购代理机构和采购单位均无义务和责任承担任何费用。</w:t>
      </w:r>
    </w:p>
    <w:p w14:paraId="5FCCAA23">
      <w:pPr>
        <w:pStyle w:val="8"/>
        <w:spacing w:line="360" w:lineRule="auto"/>
        <w:ind w:firstLine="488" w:firstLineChars="200"/>
        <w:jc w:val="left"/>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（六）投标供应商质疑及投诉受理</w:t>
      </w:r>
    </w:p>
    <w:p w14:paraId="4AB5180F">
      <w:pPr>
        <w:pStyle w:val="8"/>
        <w:spacing w:line="360" w:lineRule="auto"/>
        <w:ind w:firstLine="488" w:firstLineChars="200"/>
        <w:jc w:val="left"/>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1、投标供应商认为采购文件、采购过程、中标结果使自己的权益受到损害的，可以在知道或者应知其权益受到损害之日起七个工作日内，以书面形式向采购人、采购代理机构提出质疑。</w:t>
      </w:r>
    </w:p>
    <w:p w14:paraId="2067F562">
      <w:pPr>
        <w:pStyle w:val="8"/>
        <w:spacing w:line="360" w:lineRule="auto"/>
        <w:ind w:firstLine="488" w:firstLineChars="200"/>
        <w:jc w:val="left"/>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2、投标供应商须在法定质疑期内一次性提出针对同一采购程序环节的质疑。</w:t>
      </w:r>
    </w:p>
    <w:p w14:paraId="7DA058C9">
      <w:pPr>
        <w:pStyle w:val="8"/>
        <w:spacing w:line="360" w:lineRule="auto"/>
        <w:ind w:firstLine="488" w:firstLineChars="200"/>
        <w:jc w:val="left"/>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3、投标供应商提出质疑应当按照“《政府采购质疑和投诉办法》（财政部令第94 号）”规定提出质疑函和必要的证明材料。</w:t>
      </w:r>
    </w:p>
    <w:p w14:paraId="546A1B44">
      <w:pPr>
        <w:pStyle w:val="8"/>
        <w:spacing w:line="360" w:lineRule="auto"/>
        <w:ind w:firstLine="488" w:firstLineChars="200"/>
        <w:jc w:val="left"/>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4、采购人、采购代理机构接收投标供应商质疑函的方式：采购人、采购代理机构只接收投标供应商以书面形式递交的质疑函，且质疑函的格式应遵照财政部发布的《政府采购投标供应商质疑函范本》进行填写。</w:t>
      </w:r>
    </w:p>
    <w:p w14:paraId="0D974367">
      <w:pPr>
        <w:pStyle w:val="8"/>
        <w:spacing w:line="360" w:lineRule="auto"/>
        <w:ind w:firstLine="488" w:firstLineChars="200"/>
        <w:jc w:val="left"/>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5、采购代理机构自受理书面质疑函原件之日起，在《中华人民共和国政府采购法》《政府采购质疑和投诉办法》（财政部令第 94 号）规定的有效期限内作出书面答复。</w:t>
      </w:r>
    </w:p>
    <w:p w14:paraId="2026C575">
      <w:pPr>
        <w:pStyle w:val="8"/>
        <w:spacing w:line="360" w:lineRule="auto"/>
        <w:ind w:firstLine="488" w:firstLineChars="200"/>
        <w:jc w:val="left"/>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6、质疑函一式两份，全部递交至采购代理机构。</w:t>
      </w:r>
    </w:p>
    <w:p w14:paraId="54505248">
      <w:pPr>
        <w:pStyle w:val="8"/>
        <w:spacing w:line="360" w:lineRule="auto"/>
        <w:ind w:firstLine="488" w:firstLineChars="200"/>
        <w:jc w:val="left"/>
        <w:rPr>
          <w:sz w:val="24"/>
        </w:rPr>
      </w:pPr>
      <w:r>
        <w:rPr>
          <w:rFonts w:hint="eastAsia"/>
          <w:sz w:val="24"/>
        </w:rPr>
        <w:t>联系人：宋应钊</w:t>
      </w:r>
    </w:p>
    <w:p w14:paraId="287168AD">
      <w:pPr>
        <w:pStyle w:val="8"/>
        <w:spacing w:line="360" w:lineRule="auto"/>
        <w:ind w:firstLine="488" w:firstLineChars="200"/>
        <w:jc w:val="left"/>
        <w:rPr>
          <w:sz w:val="24"/>
        </w:rPr>
      </w:pPr>
      <w:r>
        <w:rPr>
          <w:rFonts w:hint="eastAsia"/>
          <w:sz w:val="24"/>
        </w:rPr>
        <w:t>联系电话：18085459051</w:t>
      </w:r>
    </w:p>
    <w:p w14:paraId="21C98A7E">
      <w:pPr>
        <w:pStyle w:val="8"/>
        <w:spacing w:line="360" w:lineRule="auto"/>
        <w:ind w:firstLine="488" w:firstLineChars="200"/>
        <w:jc w:val="left"/>
        <w:rPr>
          <w:sz w:val="24"/>
        </w:rPr>
      </w:pPr>
      <w:r>
        <w:rPr>
          <w:rFonts w:hint="eastAsia"/>
          <w:sz w:val="24"/>
        </w:rPr>
        <w:t>递交地点：贵阳市小河区万科大都会南区15栋14楼12号</w:t>
      </w:r>
    </w:p>
    <w:p w14:paraId="3762036A">
      <w:pPr>
        <w:pStyle w:val="8"/>
        <w:spacing w:line="360" w:lineRule="auto"/>
        <w:jc w:val="left"/>
        <w:rPr>
          <w:rFonts w:asciiTheme="majorEastAsia" w:hAnsiTheme="majorEastAsia" w:eastAsiaTheme="majorEastAsia" w:cstheme="majorEastAsia"/>
          <w:color w:val="auto"/>
          <w:sz w:val="24"/>
          <w:highlight w:val="none"/>
        </w:rPr>
      </w:pPr>
    </w:p>
    <w:p w14:paraId="4DE82410">
      <w:pPr>
        <w:pStyle w:val="8"/>
        <w:spacing w:line="360" w:lineRule="auto"/>
        <w:jc w:val="left"/>
        <w:rPr>
          <w:rFonts w:asciiTheme="majorEastAsia" w:hAnsiTheme="majorEastAsia" w:eastAsiaTheme="majorEastAsia" w:cstheme="majorEastAsia"/>
          <w:color w:val="auto"/>
          <w:sz w:val="24"/>
          <w:highlight w:val="none"/>
        </w:rPr>
      </w:pPr>
    </w:p>
    <w:p w14:paraId="423188AD">
      <w:pPr>
        <w:pStyle w:val="8"/>
        <w:spacing w:line="360" w:lineRule="auto"/>
        <w:jc w:val="left"/>
        <w:rPr>
          <w:rFonts w:asciiTheme="majorEastAsia" w:hAnsiTheme="majorEastAsia" w:eastAsiaTheme="majorEastAsia" w:cstheme="majorEastAsia"/>
          <w:color w:val="auto"/>
          <w:sz w:val="24"/>
          <w:highlight w:val="none"/>
        </w:rPr>
      </w:pPr>
    </w:p>
    <w:p w14:paraId="691732EB">
      <w:pPr>
        <w:pStyle w:val="8"/>
        <w:spacing w:line="360" w:lineRule="auto"/>
        <w:jc w:val="center"/>
        <w:rPr>
          <w:rFonts w:asciiTheme="majorEastAsia" w:hAnsiTheme="majorEastAsia" w:eastAsiaTheme="majorEastAsia" w:cstheme="majorEastAsia"/>
          <w:b/>
          <w:color w:val="auto"/>
          <w:sz w:val="28"/>
          <w:highlight w:val="none"/>
        </w:rPr>
      </w:pPr>
      <w:r>
        <w:rPr>
          <w:rFonts w:hint="eastAsia" w:asciiTheme="majorEastAsia" w:hAnsiTheme="majorEastAsia" w:eastAsiaTheme="majorEastAsia" w:cstheme="majorEastAsia"/>
          <w:b/>
          <w:color w:val="auto"/>
          <w:sz w:val="28"/>
          <w:highlight w:val="none"/>
        </w:rPr>
        <w:t>二、采购文件编制</w:t>
      </w:r>
    </w:p>
    <w:p w14:paraId="7B70CE14">
      <w:pPr>
        <w:pStyle w:val="8"/>
        <w:spacing w:line="360" w:lineRule="auto"/>
        <w:ind w:firstLine="488" w:firstLineChars="200"/>
        <w:jc w:val="left"/>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（一）采购文件由下述部分组成：</w:t>
      </w:r>
    </w:p>
    <w:p w14:paraId="2653F880">
      <w:pPr>
        <w:pStyle w:val="8"/>
        <w:spacing w:line="360" w:lineRule="auto"/>
        <w:ind w:firstLine="488" w:firstLineChars="200"/>
        <w:jc w:val="left"/>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第一章采购公告</w:t>
      </w:r>
    </w:p>
    <w:p w14:paraId="48ACFBBA">
      <w:pPr>
        <w:pStyle w:val="8"/>
        <w:spacing w:line="360" w:lineRule="auto"/>
        <w:ind w:firstLine="488" w:firstLineChars="200"/>
        <w:jc w:val="left"/>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第二章投标须知前附表</w:t>
      </w:r>
    </w:p>
    <w:p w14:paraId="0B4BC3EB">
      <w:pPr>
        <w:pStyle w:val="8"/>
        <w:spacing w:line="360" w:lineRule="auto"/>
        <w:ind w:firstLine="488" w:firstLineChars="200"/>
        <w:jc w:val="left"/>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第三章供应商须知</w:t>
      </w:r>
    </w:p>
    <w:p w14:paraId="72281E7B">
      <w:pPr>
        <w:pStyle w:val="8"/>
        <w:spacing w:line="360" w:lineRule="auto"/>
        <w:ind w:firstLine="488" w:firstLineChars="200"/>
        <w:jc w:val="left"/>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第四章评标办法</w:t>
      </w:r>
    </w:p>
    <w:p w14:paraId="36195CC0">
      <w:pPr>
        <w:pStyle w:val="8"/>
        <w:spacing w:line="360" w:lineRule="auto"/>
        <w:ind w:firstLine="488" w:firstLineChars="200"/>
        <w:jc w:val="left"/>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第五章采购需求</w:t>
      </w:r>
    </w:p>
    <w:p w14:paraId="003F4F12">
      <w:pPr>
        <w:pStyle w:val="8"/>
        <w:spacing w:line="360" w:lineRule="auto"/>
        <w:ind w:firstLine="488" w:firstLineChars="200"/>
        <w:jc w:val="left"/>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第六章合同条款</w:t>
      </w:r>
    </w:p>
    <w:p w14:paraId="1B466EB5">
      <w:pPr>
        <w:pStyle w:val="8"/>
        <w:spacing w:line="360" w:lineRule="auto"/>
        <w:ind w:firstLine="488" w:firstLineChars="200"/>
        <w:jc w:val="left"/>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第七章投标文件格式（参考模板）</w:t>
      </w:r>
    </w:p>
    <w:p w14:paraId="1EDD2C98">
      <w:pPr>
        <w:pStyle w:val="8"/>
        <w:spacing w:line="360" w:lineRule="auto"/>
        <w:ind w:firstLine="488" w:firstLineChars="200"/>
        <w:jc w:val="left"/>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第八章其他</w:t>
      </w:r>
    </w:p>
    <w:p w14:paraId="5F4BBBAE">
      <w:pPr>
        <w:pStyle w:val="8"/>
        <w:spacing w:line="360" w:lineRule="auto"/>
        <w:ind w:firstLine="488" w:firstLineChars="200"/>
        <w:jc w:val="left"/>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（二）投标供应商应仔细阅读采购文件的所有内容，按采购文件的要求提供投标文件，并保证所提供的全部资料的真实性，以使其投标对采购文件做出实质性响应，否则，其投标可能被拒绝。</w:t>
      </w:r>
    </w:p>
    <w:p w14:paraId="188A1C29">
      <w:pPr>
        <w:pStyle w:val="8"/>
        <w:spacing w:line="360" w:lineRule="auto"/>
        <w:ind w:firstLine="488" w:firstLineChars="200"/>
        <w:jc w:val="left"/>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（三）采购文件的澄清</w:t>
      </w:r>
    </w:p>
    <w:p w14:paraId="4B59EC41">
      <w:pPr>
        <w:pStyle w:val="8"/>
        <w:spacing w:line="360" w:lineRule="auto"/>
        <w:ind w:firstLine="488" w:firstLineChars="200"/>
        <w:jc w:val="left"/>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1、投标供应商对采购文件如有疑问需要澄清，须在投标截止时间 15 日前以书面形式通知采购代理机构，采购代理机构将以书面做出答复，逾期不接受。</w:t>
      </w:r>
    </w:p>
    <w:p w14:paraId="6C83B728">
      <w:pPr>
        <w:pStyle w:val="8"/>
        <w:spacing w:line="360" w:lineRule="auto"/>
        <w:ind w:firstLine="488" w:firstLineChars="200"/>
        <w:jc w:val="left"/>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2、采购文件的修改</w:t>
      </w:r>
    </w:p>
    <w:p w14:paraId="3DF4C474">
      <w:pPr>
        <w:pStyle w:val="8"/>
        <w:spacing w:line="360" w:lineRule="auto"/>
        <w:ind w:firstLine="488" w:firstLineChars="200"/>
        <w:jc w:val="left"/>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2.1 在投标截止时间 15 日前的任何时间，采购单位或采购代理机构无论出于自己的考虑，还是出于对投标供应商提问的澄清，均可主动对采购文件用补充文件的方式进行修改。</w:t>
      </w:r>
    </w:p>
    <w:p w14:paraId="571E5A1D">
      <w:pPr>
        <w:pStyle w:val="8"/>
        <w:spacing w:line="360" w:lineRule="auto"/>
        <w:ind w:firstLine="488" w:firstLineChars="200"/>
        <w:jc w:val="left"/>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2.2 对采购文件的修改，将以在发布招标公告的媒体上发布更正公告的形式通知已购买采购文件的所有投标供应商。更正公告将作为采购文件的组成部分，对所有投标供应商有约束力。</w:t>
      </w:r>
    </w:p>
    <w:p w14:paraId="068911D8">
      <w:pPr>
        <w:pStyle w:val="8"/>
        <w:spacing w:line="360" w:lineRule="auto"/>
        <w:ind w:firstLine="488" w:firstLineChars="200"/>
        <w:jc w:val="left"/>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2.3 因各种特殊情况，采购单位有权决定推迟投标截止时间和开标时间，并将此变更通知购买采购文件的所有投标供应商。</w:t>
      </w:r>
    </w:p>
    <w:p w14:paraId="78F8887C">
      <w:pPr>
        <w:pStyle w:val="8"/>
        <w:spacing w:line="360" w:lineRule="auto"/>
        <w:ind w:firstLine="488" w:firstLineChars="200"/>
        <w:jc w:val="left"/>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注：投标供应商获取采购文件后，应仔细检查采购文件的所有内容，如有残缺等问题应在获得采购文件 3 日内向采购代理机构提出，否则，由此引起的损失由投标供应商自己承担。</w:t>
      </w:r>
    </w:p>
    <w:p w14:paraId="72913B80">
      <w:pPr>
        <w:pStyle w:val="8"/>
        <w:spacing w:line="360" w:lineRule="auto"/>
        <w:jc w:val="center"/>
        <w:rPr>
          <w:rFonts w:asciiTheme="majorEastAsia" w:hAnsiTheme="majorEastAsia" w:eastAsiaTheme="majorEastAsia" w:cstheme="majorEastAsia"/>
          <w:b/>
          <w:color w:val="auto"/>
          <w:sz w:val="28"/>
          <w:highlight w:val="none"/>
        </w:rPr>
      </w:pPr>
      <w:r>
        <w:rPr>
          <w:rFonts w:hint="eastAsia" w:asciiTheme="majorEastAsia" w:hAnsiTheme="majorEastAsia" w:eastAsiaTheme="majorEastAsia" w:cstheme="majorEastAsia"/>
          <w:b/>
          <w:color w:val="auto"/>
          <w:sz w:val="28"/>
          <w:highlight w:val="none"/>
        </w:rPr>
        <w:t>三、投标文件编制说明</w:t>
      </w:r>
    </w:p>
    <w:p w14:paraId="0A47D9FA">
      <w:pPr>
        <w:pStyle w:val="8"/>
        <w:spacing w:line="360" w:lineRule="auto"/>
        <w:ind w:firstLine="488" w:firstLineChars="200"/>
        <w:jc w:val="left"/>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xml:space="preserve">一、格式 </w:t>
      </w:r>
    </w:p>
    <w:p w14:paraId="1574CB03">
      <w:pPr>
        <w:pStyle w:val="8"/>
        <w:spacing w:line="360" w:lineRule="auto"/>
        <w:ind w:firstLine="488" w:firstLineChars="200"/>
        <w:jc w:val="left"/>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xml:space="preserve">1.投标文件及与投标有关的所有来往函电均使用中文简体字。原版为外文的证书类文件，以及由外籍人士做出的本人签名、外籍公司的名称或外籍印章等可以是外文，但应当提供中文翻译文件并加盖投标人公章。必要时评标委员会可以要求投标人提供附有公证书的中文翻译文件或者与原版文件签章相一致的中文翻译文件。对于未附有中文译本和中文译本不准确引起的对投标人的不利后果，由投标人自行负责。 </w:t>
      </w:r>
    </w:p>
    <w:p w14:paraId="304A9188">
      <w:pPr>
        <w:pStyle w:val="8"/>
        <w:spacing w:line="360" w:lineRule="auto"/>
        <w:ind w:firstLine="488" w:firstLineChars="200"/>
        <w:jc w:val="left"/>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xml:space="preserve">2.投标文件中所使用的计量单位，除招标文件有要求的外，均使用国家法定计量单位。 </w:t>
      </w:r>
    </w:p>
    <w:p w14:paraId="63E11097">
      <w:pPr>
        <w:pStyle w:val="8"/>
        <w:spacing w:line="360" w:lineRule="auto"/>
        <w:ind w:firstLine="488" w:firstLineChars="200"/>
        <w:jc w:val="left"/>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xml:space="preserve">3.投标文件中的图片资料、打印件、复印件等应清晰可见，内容不得倒置、歪斜。由于投标文件不清晰或不利于阅读所造成的后果，由投标人自行负责。 </w:t>
      </w:r>
    </w:p>
    <w:p w14:paraId="4B648C2F">
      <w:pPr>
        <w:pStyle w:val="8"/>
        <w:spacing w:line="360" w:lineRule="auto"/>
        <w:ind w:firstLine="488" w:firstLineChars="200"/>
        <w:jc w:val="left"/>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xml:space="preserve">4.投标人应按照投标文件结构化编制工具编制投标文件，生成.GPT 格式的投标文件，并使用数字证书进行加密。投标文件制作工具使用问题咨询贵州省公共资源交易中心：0851-85971363/85971912（ 信 息 化 处 ） 0851-85971671/85971629（工具维保）。 </w:t>
      </w:r>
    </w:p>
    <w:p w14:paraId="27A0D6AD">
      <w:pPr>
        <w:pStyle w:val="8"/>
        <w:spacing w:line="360" w:lineRule="auto"/>
        <w:ind w:firstLine="488" w:firstLineChars="200"/>
        <w:jc w:val="left"/>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xml:space="preserve">二、递交时间及地点 </w:t>
      </w:r>
    </w:p>
    <w:p w14:paraId="7EA54B33">
      <w:pPr>
        <w:pStyle w:val="8"/>
        <w:spacing w:line="360" w:lineRule="auto"/>
        <w:ind w:firstLine="488" w:firstLineChars="200"/>
        <w:jc w:val="left"/>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xml:space="preserve">递交文件截止时间（北京时间）：以本项目公告时间为准；因本项目为电子招标，投标 人须在递交投标文件截止时间前完整的将加密电子投标文件（.GPT 格式）上传到全国公共资源交易平台（贵州省）（网址：ggzy.guizhou.gov.cn）-2020 版，投标截止时间前未完成投标文件传输的，视为撤回投标文件。投标截止时间后，贵州省公共资源交易平台不再接收投标文件。潜在投标人在开标环节无需递交纸质投标文件。 </w:t>
      </w:r>
    </w:p>
    <w:p w14:paraId="3AD0AAB0">
      <w:pPr>
        <w:pStyle w:val="8"/>
        <w:spacing w:line="360" w:lineRule="auto"/>
        <w:ind w:firstLine="488" w:firstLineChars="200"/>
        <w:jc w:val="left"/>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xml:space="preserve">三、其它要求 </w:t>
      </w:r>
    </w:p>
    <w:p w14:paraId="4B33B372">
      <w:pPr>
        <w:pStyle w:val="8"/>
        <w:spacing w:line="360" w:lineRule="auto"/>
        <w:ind w:firstLine="488" w:firstLineChars="200"/>
        <w:jc w:val="left"/>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投标文件递交截止时间前，投标人应登录电子开标系统。投标文件递交截止时间后，招标代理机构发出投标文件解密指令，投标人应在解密指令发出后使用数字证书（加、解密为同一把数字证书）在系统规定时间完成解密。如因投标人原因导致在系统规定时间内未解密成功的,视为放弃投标。</w:t>
      </w:r>
    </w:p>
    <w:p w14:paraId="59B56704">
      <w:pPr>
        <w:pStyle w:val="8"/>
        <w:spacing w:line="360" w:lineRule="auto"/>
        <w:ind w:firstLine="488" w:firstLineChars="200"/>
        <w:jc w:val="left"/>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xml:space="preserve">2.出现下列情形之一的投标人投标文件将被省中心交易平台网上开标系统拒收： </w:t>
      </w:r>
    </w:p>
    <w:p w14:paraId="7D738647">
      <w:pPr>
        <w:pStyle w:val="8"/>
        <w:spacing w:line="360" w:lineRule="auto"/>
        <w:ind w:firstLine="488" w:firstLineChars="200"/>
        <w:jc w:val="left"/>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xml:space="preserve">（1）投标截止时间后上传的投标文件。 </w:t>
      </w:r>
    </w:p>
    <w:p w14:paraId="02BDB2FB">
      <w:pPr>
        <w:pStyle w:val="8"/>
        <w:spacing w:line="360" w:lineRule="auto"/>
        <w:ind w:firstLine="488" w:firstLineChars="200"/>
        <w:jc w:val="left"/>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xml:space="preserve">（2）投标人未按规定递交投标保证金的投标文件。 </w:t>
      </w:r>
    </w:p>
    <w:p w14:paraId="5440E40E">
      <w:pPr>
        <w:pStyle w:val="8"/>
        <w:spacing w:line="360" w:lineRule="auto"/>
        <w:ind w:firstLine="488" w:firstLineChars="200"/>
        <w:jc w:val="left"/>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xml:space="preserve">（3）投标人未按规定签章、加密的投标文件。 </w:t>
      </w:r>
    </w:p>
    <w:p w14:paraId="1ADC8C5C">
      <w:pPr>
        <w:pStyle w:val="8"/>
        <w:spacing w:line="360" w:lineRule="auto"/>
        <w:ind w:firstLine="488" w:firstLineChars="200"/>
        <w:jc w:val="left"/>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xml:space="preserve">3.出现下列情况的，投标人须重新用数字证书签章和加密投标文件，并在投标截止时间之前上传完成到交易平台: </w:t>
      </w:r>
    </w:p>
    <w:p w14:paraId="31C5C85B">
      <w:pPr>
        <w:pStyle w:val="8"/>
        <w:spacing w:line="360" w:lineRule="auto"/>
        <w:ind w:firstLine="488" w:firstLineChars="200"/>
        <w:jc w:val="left"/>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xml:space="preserve">（1）数字证书到期后重新续期； </w:t>
      </w:r>
    </w:p>
    <w:p w14:paraId="1FB85702">
      <w:pPr>
        <w:pStyle w:val="8"/>
        <w:spacing w:line="360" w:lineRule="auto"/>
        <w:ind w:firstLine="488" w:firstLineChars="200"/>
        <w:jc w:val="left"/>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xml:space="preserve">（2）数字证书因遗失、损坏、企业信息变更等情况更换新证书。 </w:t>
      </w:r>
    </w:p>
    <w:p w14:paraId="275EBFB4">
      <w:pPr>
        <w:pStyle w:val="8"/>
        <w:spacing w:line="360" w:lineRule="auto"/>
        <w:ind w:firstLine="488" w:firstLineChars="200"/>
        <w:jc w:val="left"/>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sz w:val="24"/>
          <w:highlight w:val="none"/>
        </w:rPr>
        <w:t>4. 投标人由于数字证书遗失、损坏、更换、续期等情况导 致投标文件无法解密，由投标人自行承担责任。</w:t>
      </w:r>
    </w:p>
    <w:p w14:paraId="0D270582">
      <w:pPr>
        <w:pStyle w:val="8"/>
        <w:spacing w:line="360" w:lineRule="auto"/>
        <w:jc w:val="left"/>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（四）投标报价和货币</w:t>
      </w:r>
    </w:p>
    <w:p w14:paraId="0D66F42B">
      <w:pPr>
        <w:pStyle w:val="8"/>
        <w:spacing w:line="360" w:lineRule="auto"/>
        <w:ind w:firstLine="480"/>
        <w:rPr>
          <w:rFonts w:asciiTheme="majorEastAsia" w:hAnsiTheme="majorEastAsia" w:eastAsiaTheme="majorEastAsia" w:cstheme="majorEastAsia"/>
          <w:snapToGrid w:val="0"/>
          <w:color w:val="auto"/>
          <w:kern w:val="0"/>
          <w:highlight w:val="none"/>
        </w:rPr>
      </w:pPr>
      <w:r>
        <w:rPr>
          <w:rFonts w:hint="eastAsia" w:asciiTheme="majorEastAsia" w:hAnsiTheme="majorEastAsia" w:eastAsiaTheme="majorEastAsia" w:cstheme="majorEastAsia"/>
          <w:snapToGrid w:val="0"/>
          <w:color w:val="auto"/>
          <w:kern w:val="0"/>
          <w:sz w:val="24"/>
          <w:highlight w:val="none"/>
        </w:rPr>
        <w:t>供应商对投标服务的报价，应报出最具有竞争力的价格，投标报价为一次性报价（采购人只接受唯一报价，不接受任何可变、可选择的报价），即在投标有效期和合同有效期内，该报价固定不变。投标报价应按“供应商须知前附表”的要求报价，以人民币（元）为结算单位。</w:t>
      </w:r>
    </w:p>
    <w:p w14:paraId="5D57DCDA">
      <w:pPr>
        <w:pStyle w:val="8"/>
        <w:spacing w:line="360" w:lineRule="auto"/>
        <w:ind w:firstLine="480"/>
        <w:rPr>
          <w:rFonts w:asciiTheme="majorEastAsia" w:hAnsiTheme="majorEastAsia" w:eastAsiaTheme="majorEastAsia" w:cstheme="majorEastAsia"/>
          <w:snapToGrid w:val="0"/>
          <w:color w:val="auto"/>
          <w:kern w:val="0"/>
          <w:highlight w:val="none"/>
        </w:rPr>
      </w:pPr>
      <w:r>
        <w:rPr>
          <w:rFonts w:hint="eastAsia" w:asciiTheme="majorEastAsia" w:hAnsiTheme="majorEastAsia" w:eastAsiaTheme="majorEastAsia" w:cstheme="majorEastAsia"/>
          <w:snapToGrid w:val="0"/>
          <w:color w:val="auto"/>
          <w:kern w:val="0"/>
          <w:sz w:val="24"/>
          <w:highlight w:val="none"/>
        </w:rPr>
        <w:t>4.1.2 有关服务的报价应包括要向中华人民共和国政府缴纳的相关税费。</w:t>
      </w:r>
    </w:p>
    <w:p w14:paraId="5D8D6F77">
      <w:pPr>
        <w:pStyle w:val="8"/>
        <w:spacing w:line="360" w:lineRule="auto"/>
        <w:ind w:firstLine="480"/>
        <w:rPr>
          <w:rFonts w:asciiTheme="majorEastAsia" w:hAnsiTheme="majorEastAsia" w:eastAsiaTheme="majorEastAsia" w:cstheme="majorEastAsia"/>
          <w:snapToGrid w:val="0"/>
          <w:color w:val="auto"/>
          <w:kern w:val="0"/>
          <w:highlight w:val="none"/>
        </w:rPr>
      </w:pPr>
      <w:r>
        <w:rPr>
          <w:rFonts w:hint="eastAsia" w:asciiTheme="majorEastAsia" w:hAnsiTheme="majorEastAsia" w:eastAsiaTheme="majorEastAsia" w:cstheme="majorEastAsia"/>
          <w:snapToGrid w:val="0"/>
          <w:color w:val="auto"/>
          <w:kern w:val="0"/>
          <w:sz w:val="24"/>
          <w:highlight w:val="none"/>
        </w:rPr>
        <w:t>4.1.3 有关服务的报价应包括相关的增值税等相关税费。</w:t>
      </w:r>
    </w:p>
    <w:p w14:paraId="17756BB3">
      <w:pPr>
        <w:pStyle w:val="8"/>
        <w:spacing w:line="360" w:lineRule="auto"/>
        <w:ind w:firstLine="488" w:firstLineChars="200"/>
        <w:jc w:val="left"/>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snapToGrid w:val="0"/>
          <w:color w:val="auto"/>
          <w:kern w:val="0"/>
          <w:sz w:val="24"/>
          <w:highlight w:val="none"/>
        </w:rPr>
        <w:t>4.1.4 本项目最高投标限价详见“供应商须知前附表”。</w:t>
      </w:r>
    </w:p>
    <w:p w14:paraId="5FA3766E">
      <w:pPr>
        <w:pStyle w:val="8"/>
        <w:spacing w:line="360" w:lineRule="auto"/>
        <w:ind w:firstLine="488" w:firstLineChars="200"/>
        <w:jc w:val="left"/>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（五）投标保证金</w:t>
      </w:r>
    </w:p>
    <w:p w14:paraId="7E2481A7">
      <w:pPr>
        <w:pStyle w:val="8"/>
        <w:spacing w:line="360" w:lineRule="auto"/>
        <w:ind w:firstLine="488" w:firstLineChars="200"/>
        <w:jc w:val="left"/>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5.1.1 投标保证金交纳要求</w:t>
      </w:r>
    </w:p>
    <w:p w14:paraId="6DD74F29">
      <w:pPr>
        <w:pStyle w:val="8"/>
        <w:spacing w:line="360" w:lineRule="auto"/>
        <w:ind w:firstLine="488" w:firstLineChars="200"/>
        <w:jc w:val="left"/>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5.1.1.1 投标保证金的交纳方式以公共资源交易中心最新规定为准。</w:t>
      </w:r>
    </w:p>
    <w:p w14:paraId="0ACE8232">
      <w:pPr>
        <w:pStyle w:val="8"/>
        <w:spacing w:line="360" w:lineRule="auto"/>
        <w:ind w:firstLine="488" w:firstLineChars="200"/>
        <w:jc w:val="left"/>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5.1.1.2 投标保证金的交纳时间以采购文件规定为准。</w:t>
      </w:r>
    </w:p>
    <w:p w14:paraId="7FC9B963">
      <w:pPr>
        <w:pStyle w:val="8"/>
        <w:spacing w:line="360" w:lineRule="auto"/>
        <w:ind w:firstLine="488" w:firstLineChars="200"/>
        <w:jc w:val="left"/>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5.1.2 投标供应商应提交“投标须知前附表”规定数额的投标保证金，并作为其投标的一部分。</w:t>
      </w:r>
    </w:p>
    <w:p w14:paraId="4D92B112">
      <w:pPr>
        <w:pStyle w:val="8"/>
        <w:spacing w:line="360" w:lineRule="auto"/>
        <w:ind w:firstLine="488" w:firstLineChars="200"/>
        <w:jc w:val="left"/>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5.1.3 投标保证金是为了保护采购代理机构和采购单位免遭因投标供应商的行为而蒙受损失。采购代理机构和采购单位在因投标供应商的行为受到损害时可根据本须知 5.1.5.3 条款的规定不退还投标供应商的投标保证金。若因此对采购代理机构和采购单位造成严重后果，投标供应商应承担相应的法律责任。</w:t>
      </w:r>
    </w:p>
    <w:p w14:paraId="70457D1E">
      <w:pPr>
        <w:pStyle w:val="8"/>
        <w:spacing w:line="360" w:lineRule="auto"/>
        <w:ind w:firstLine="488" w:firstLineChars="200"/>
        <w:jc w:val="left"/>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3.7.4 凡没有根据本须知 3.7.1 和 3.7.2 条款的规定提交有效的投标保证金的投标，应按本须知 5.5 条款的规定视为非响应性投标予以拒绝。</w:t>
      </w:r>
    </w:p>
    <w:p w14:paraId="630A05C0">
      <w:pPr>
        <w:pStyle w:val="8"/>
        <w:spacing w:line="360" w:lineRule="auto"/>
        <w:ind w:firstLine="488" w:firstLineChars="200"/>
        <w:jc w:val="left"/>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5.1.5 投标保证金的退还</w:t>
      </w:r>
    </w:p>
    <w:p w14:paraId="37BCC819">
      <w:pPr>
        <w:pStyle w:val="8"/>
        <w:spacing w:line="360" w:lineRule="auto"/>
        <w:ind w:firstLine="488" w:firstLineChars="200"/>
        <w:jc w:val="left"/>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5.1.5.1 投标保证金的退还方式以公共资源交易中心最新规定为准。</w:t>
      </w:r>
    </w:p>
    <w:p w14:paraId="33F118F4">
      <w:pPr>
        <w:pStyle w:val="8"/>
        <w:spacing w:line="360" w:lineRule="auto"/>
        <w:ind w:firstLine="488" w:firstLineChars="200"/>
        <w:jc w:val="left"/>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5.1.5.2 投标保证金的退还时间按财政部令第 87 号的规定时间退还。</w:t>
      </w:r>
    </w:p>
    <w:p w14:paraId="36AFDE0A">
      <w:pPr>
        <w:pStyle w:val="8"/>
        <w:spacing w:line="360" w:lineRule="auto"/>
        <w:ind w:firstLine="488" w:firstLineChars="200"/>
        <w:jc w:val="left"/>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5.1.5.3 下列任何情况发生时，投标保证金将不予退还：</w:t>
      </w:r>
    </w:p>
    <w:p w14:paraId="30461D07">
      <w:pPr>
        <w:pStyle w:val="8"/>
        <w:spacing w:line="360" w:lineRule="auto"/>
        <w:ind w:firstLine="488" w:firstLineChars="200"/>
        <w:jc w:val="left"/>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5.1.5.3.1 投标供应商在采购文件中规定的投标有效期内撤回投标文件的；</w:t>
      </w:r>
    </w:p>
    <w:p w14:paraId="1F886666">
      <w:pPr>
        <w:pStyle w:val="8"/>
        <w:spacing w:line="360" w:lineRule="auto"/>
        <w:ind w:firstLine="488" w:firstLineChars="200"/>
        <w:jc w:val="left"/>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5.1.5.3.2 中标人在规定期限内未能根据相关规定签订合同的；</w:t>
      </w:r>
    </w:p>
    <w:p w14:paraId="211E2663">
      <w:pPr>
        <w:pStyle w:val="8"/>
        <w:spacing w:line="360" w:lineRule="auto"/>
        <w:ind w:firstLine="488" w:firstLineChars="200"/>
        <w:jc w:val="left"/>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5.1.5.3.3 提供虚假材料参与投标的；</w:t>
      </w:r>
    </w:p>
    <w:p w14:paraId="5D85594B">
      <w:pPr>
        <w:pStyle w:val="8"/>
        <w:spacing w:line="360" w:lineRule="auto"/>
        <w:ind w:firstLine="488" w:firstLineChars="200"/>
        <w:jc w:val="left"/>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5.1.5.3.4 有《中华人民共和国政府采购法》第七十七条所列行为的;</w:t>
      </w:r>
    </w:p>
    <w:p w14:paraId="30E8DE82">
      <w:pPr>
        <w:pStyle w:val="8"/>
        <w:spacing w:line="360" w:lineRule="auto"/>
        <w:ind w:firstLine="488" w:firstLineChars="200"/>
        <w:jc w:val="left"/>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5.1.5.3.5 法律法规及采购文件规定的其他情形。</w:t>
      </w:r>
    </w:p>
    <w:p w14:paraId="2251C835">
      <w:pPr>
        <w:pStyle w:val="8"/>
        <w:spacing w:line="360" w:lineRule="auto"/>
        <w:ind w:firstLine="488" w:firstLineChars="200"/>
        <w:jc w:val="left"/>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5.1.5.4 若发生质疑或投诉，与质疑或投诉有关的投标供应商的投标保证金有效期将延长，待质疑、投诉处理完毕之后予以办理。</w:t>
      </w:r>
    </w:p>
    <w:p w14:paraId="0C8A9795">
      <w:pPr>
        <w:pStyle w:val="8"/>
        <w:spacing w:line="360" w:lineRule="auto"/>
        <w:ind w:firstLine="488" w:firstLineChars="200"/>
        <w:jc w:val="left"/>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5.1.5.5 根据财政部令第 87 号的规定，未中标（未成交）投标供应商的保证金应当在中标通知书（成交通知书）发出后 5 个工作日内退还，中标人（成交投标供应商）的保证金应当在采购合同签订后 5 个工作日内退还。</w:t>
      </w:r>
    </w:p>
    <w:p w14:paraId="29DA941E">
      <w:pPr>
        <w:pStyle w:val="8"/>
        <w:spacing w:line="360" w:lineRule="auto"/>
        <w:ind w:firstLine="488" w:firstLineChars="200"/>
        <w:jc w:val="left"/>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（六）投标有效期</w:t>
      </w:r>
    </w:p>
    <w:p w14:paraId="64C06938">
      <w:pPr>
        <w:pStyle w:val="8"/>
        <w:spacing w:line="360" w:lineRule="auto"/>
        <w:ind w:firstLine="488" w:firstLineChars="200"/>
        <w:jc w:val="left"/>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6.1 根据本须知 4.2 条款规定，投标应在规定的开标日后的“投标须知前附表”中所述时期内保持有效。投标有效期不满足要求的投标将被视为非响应性投标而予以拒绝。</w:t>
      </w:r>
    </w:p>
    <w:p w14:paraId="35E1B4DA">
      <w:pPr>
        <w:pStyle w:val="8"/>
        <w:spacing w:line="360" w:lineRule="auto"/>
        <w:ind w:firstLine="488" w:firstLineChars="200"/>
        <w:jc w:val="left"/>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6.2 特殊情况下，在原投标有效期截止之前，采购代理机构可要求投标供应商同意延长投标有效期。这种要求与答复均应以书面形式提交。投标供应商可拒绝采购代理机构的这种要求，不会影响其投标保证金的退还。接受延长投标有效期的投标供应商将不会被要求和允许修正其投标，而只会被要求相应地延长其投标保证金的有效期。在这种情况下，本须知 3.7条款有关投标保证金的退还和不予退还的规定将在延长的有效期内继续有效。</w:t>
      </w:r>
    </w:p>
    <w:p w14:paraId="7FB04292">
      <w:pPr>
        <w:pStyle w:val="8"/>
        <w:spacing w:line="360" w:lineRule="auto"/>
        <w:ind w:firstLine="488" w:firstLineChars="200"/>
        <w:jc w:val="left"/>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（七）投标文件的式样和签署</w:t>
      </w:r>
    </w:p>
    <w:p w14:paraId="65ABE8A0">
      <w:pPr>
        <w:pStyle w:val="8"/>
        <w:spacing w:line="360" w:lineRule="auto"/>
        <w:ind w:firstLine="488" w:firstLineChars="200"/>
        <w:jc w:val="left"/>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7.1 投标供应商应准备一份投标文件正本和“投标须知前附表”中规定数目的副本。</w:t>
      </w:r>
    </w:p>
    <w:p w14:paraId="0E519A9F">
      <w:pPr>
        <w:pStyle w:val="8"/>
        <w:spacing w:line="360" w:lineRule="auto"/>
        <w:ind w:firstLine="488" w:firstLineChars="200"/>
        <w:jc w:val="left"/>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7.2 投标文件的正本需打印或用不褪色墨水书写，并由投标供应商法定代表人或法定代表授权委托人在投标文件上签字。除没有修改过的印刷文献外，投标文件格式规定签字或盖章的地方必须由投标供应商法定代表人或法定代表授权委托人签字或盖章。投标文件的副本可采用正本的复印件。</w:t>
      </w:r>
    </w:p>
    <w:p w14:paraId="222694D8">
      <w:pPr>
        <w:pStyle w:val="8"/>
        <w:spacing w:line="360" w:lineRule="auto"/>
        <w:ind w:firstLine="488" w:firstLineChars="200"/>
        <w:jc w:val="left"/>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7.3 任何行间插字、涂改和增删，必须由投标供应商法定代表人或法定代表授权委托人签字并加盖公章，方才有效。</w:t>
      </w:r>
    </w:p>
    <w:p w14:paraId="6CAA3279">
      <w:pPr>
        <w:pStyle w:val="8"/>
        <w:spacing w:line="360" w:lineRule="auto"/>
        <w:ind w:firstLine="488" w:firstLineChars="200"/>
        <w:jc w:val="left"/>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7.4 投标文件因字迹潦草或表达不清所引起的后果由投标供应商自行负责。</w:t>
      </w:r>
    </w:p>
    <w:p w14:paraId="351BF62F">
      <w:pPr>
        <w:pStyle w:val="8"/>
        <w:spacing w:line="360" w:lineRule="auto"/>
        <w:jc w:val="center"/>
        <w:rPr>
          <w:rFonts w:hint="eastAsia" w:asciiTheme="majorEastAsia" w:hAnsiTheme="majorEastAsia" w:eastAsiaTheme="majorEastAsia" w:cstheme="majorEastAsia"/>
          <w:b/>
          <w:color w:val="auto"/>
          <w:sz w:val="28"/>
          <w:highlight w:val="none"/>
        </w:rPr>
      </w:pPr>
    </w:p>
    <w:p w14:paraId="48790FAD">
      <w:pPr>
        <w:pStyle w:val="8"/>
        <w:spacing w:line="360" w:lineRule="auto"/>
        <w:jc w:val="center"/>
        <w:rPr>
          <w:rFonts w:hint="eastAsia" w:asciiTheme="majorEastAsia" w:hAnsiTheme="majorEastAsia" w:eastAsiaTheme="majorEastAsia" w:cstheme="majorEastAsia"/>
          <w:b/>
          <w:color w:val="auto"/>
          <w:sz w:val="28"/>
          <w:highlight w:val="none"/>
        </w:rPr>
      </w:pPr>
    </w:p>
    <w:p w14:paraId="78A61284">
      <w:pPr>
        <w:pStyle w:val="8"/>
        <w:spacing w:line="360" w:lineRule="auto"/>
        <w:jc w:val="center"/>
        <w:rPr>
          <w:rFonts w:hint="eastAsia" w:asciiTheme="majorEastAsia" w:hAnsiTheme="majorEastAsia" w:eastAsiaTheme="majorEastAsia" w:cstheme="majorEastAsia"/>
          <w:b/>
          <w:color w:val="auto"/>
          <w:sz w:val="28"/>
          <w:highlight w:val="none"/>
        </w:rPr>
      </w:pPr>
    </w:p>
    <w:p w14:paraId="0004F11E">
      <w:pPr>
        <w:pStyle w:val="8"/>
        <w:spacing w:line="360" w:lineRule="auto"/>
        <w:jc w:val="center"/>
        <w:rPr>
          <w:rFonts w:hint="eastAsia" w:asciiTheme="majorEastAsia" w:hAnsiTheme="majorEastAsia" w:eastAsiaTheme="majorEastAsia" w:cstheme="majorEastAsia"/>
          <w:b/>
          <w:color w:val="auto"/>
          <w:sz w:val="28"/>
          <w:highlight w:val="none"/>
        </w:rPr>
      </w:pPr>
    </w:p>
    <w:p w14:paraId="6FE8222D">
      <w:pPr>
        <w:pStyle w:val="8"/>
        <w:spacing w:line="360" w:lineRule="auto"/>
        <w:jc w:val="center"/>
        <w:rPr>
          <w:rFonts w:hint="eastAsia" w:asciiTheme="majorEastAsia" w:hAnsiTheme="majorEastAsia" w:eastAsiaTheme="majorEastAsia" w:cstheme="majorEastAsia"/>
          <w:b/>
          <w:color w:val="auto"/>
          <w:sz w:val="28"/>
          <w:highlight w:val="none"/>
        </w:rPr>
      </w:pPr>
    </w:p>
    <w:p w14:paraId="20585026">
      <w:pPr>
        <w:pStyle w:val="8"/>
        <w:spacing w:line="360" w:lineRule="auto"/>
        <w:jc w:val="center"/>
        <w:rPr>
          <w:rFonts w:hint="eastAsia" w:asciiTheme="majorEastAsia" w:hAnsiTheme="majorEastAsia" w:eastAsiaTheme="majorEastAsia" w:cstheme="majorEastAsia"/>
          <w:b/>
          <w:color w:val="auto"/>
          <w:sz w:val="28"/>
          <w:highlight w:val="none"/>
        </w:rPr>
      </w:pPr>
    </w:p>
    <w:p w14:paraId="530C6EF5">
      <w:pPr>
        <w:pStyle w:val="8"/>
        <w:spacing w:line="360" w:lineRule="auto"/>
        <w:jc w:val="center"/>
        <w:rPr>
          <w:rFonts w:hint="eastAsia" w:asciiTheme="majorEastAsia" w:hAnsiTheme="majorEastAsia" w:eastAsiaTheme="majorEastAsia" w:cstheme="majorEastAsia"/>
          <w:b/>
          <w:color w:val="auto"/>
          <w:sz w:val="28"/>
          <w:highlight w:val="none"/>
        </w:rPr>
      </w:pPr>
    </w:p>
    <w:p w14:paraId="04CAF88F">
      <w:pPr>
        <w:pStyle w:val="8"/>
        <w:spacing w:line="360" w:lineRule="auto"/>
        <w:jc w:val="center"/>
        <w:rPr>
          <w:rFonts w:hint="eastAsia" w:asciiTheme="majorEastAsia" w:hAnsiTheme="majorEastAsia" w:eastAsiaTheme="majorEastAsia" w:cstheme="majorEastAsia"/>
          <w:b/>
          <w:color w:val="auto"/>
          <w:sz w:val="28"/>
          <w:highlight w:val="none"/>
        </w:rPr>
      </w:pPr>
    </w:p>
    <w:p w14:paraId="7A4E5C53">
      <w:pPr>
        <w:pStyle w:val="8"/>
        <w:spacing w:line="360" w:lineRule="auto"/>
        <w:jc w:val="center"/>
        <w:rPr>
          <w:rFonts w:hint="eastAsia" w:asciiTheme="majorEastAsia" w:hAnsiTheme="majorEastAsia" w:eastAsiaTheme="majorEastAsia" w:cstheme="majorEastAsia"/>
          <w:b/>
          <w:color w:val="auto"/>
          <w:sz w:val="28"/>
          <w:highlight w:val="none"/>
        </w:rPr>
      </w:pPr>
    </w:p>
    <w:p w14:paraId="6CF49D4B">
      <w:pPr>
        <w:pStyle w:val="8"/>
        <w:spacing w:line="360" w:lineRule="auto"/>
        <w:jc w:val="center"/>
        <w:rPr>
          <w:rFonts w:asciiTheme="majorEastAsia" w:hAnsiTheme="majorEastAsia" w:eastAsiaTheme="majorEastAsia" w:cstheme="majorEastAsia"/>
          <w:b/>
          <w:color w:val="auto"/>
          <w:sz w:val="28"/>
          <w:highlight w:val="none"/>
        </w:rPr>
      </w:pPr>
      <w:r>
        <w:rPr>
          <w:rFonts w:hint="eastAsia" w:asciiTheme="majorEastAsia" w:hAnsiTheme="majorEastAsia" w:eastAsiaTheme="majorEastAsia" w:cstheme="majorEastAsia"/>
          <w:b/>
          <w:color w:val="auto"/>
          <w:sz w:val="28"/>
          <w:highlight w:val="none"/>
        </w:rPr>
        <w:t>四、投标文件的递交</w:t>
      </w:r>
    </w:p>
    <w:p w14:paraId="28135C21">
      <w:pPr>
        <w:widowControl/>
        <w:spacing w:line="360" w:lineRule="auto"/>
        <w:ind w:firstLine="488" w:firstLineChars="200"/>
        <w:jc w:val="left"/>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xml:space="preserve">4.1 </w:t>
      </w:r>
      <w:r>
        <w:rPr>
          <w:rFonts w:hint="eastAsia" w:asciiTheme="majorEastAsia" w:hAnsiTheme="majorEastAsia" w:eastAsiaTheme="majorEastAsia" w:cstheme="majorEastAsia"/>
          <w:b/>
          <w:bCs/>
          <w:color w:val="auto"/>
          <w:kern w:val="0"/>
          <w:sz w:val="24"/>
          <w:highlight w:val="none"/>
          <w:lang w:bidi="ar"/>
        </w:rPr>
        <w:t>电子投标文件的递交</w:t>
      </w:r>
    </w:p>
    <w:p w14:paraId="19557808">
      <w:pPr>
        <w:widowControl/>
        <w:spacing w:line="360" w:lineRule="auto"/>
        <w:ind w:firstLine="488" w:firstLineChars="200"/>
        <w:jc w:val="left"/>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4.1.1 投标人应在“投标须知表”规定的提交投标文件时间前将加密的电子投标文件上传至全国公共资源交易平台（贵州省·黔南州）（http://ggzy.qiannan.gov.cn/）。</w:t>
      </w:r>
    </w:p>
    <w:p w14:paraId="67B1EC4B">
      <w:pPr>
        <w:widowControl/>
        <w:spacing w:line="360" w:lineRule="auto"/>
        <w:ind w:firstLine="488" w:firstLineChars="200"/>
        <w:jc w:val="left"/>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4.1.2逾期上传或未加密的投标文件或不符合规定格式的投标文件，全国公共资源交易平台（贵州省·黔南州）平台将予以拒收，视为未提交电子投标文件，投标无效。</w:t>
      </w:r>
    </w:p>
    <w:p w14:paraId="0FD70D90">
      <w:pPr>
        <w:widowControl/>
        <w:spacing w:line="360" w:lineRule="auto"/>
        <w:ind w:firstLine="488" w:firstLineChars="200"/>
        <w:jc w:val="left"/>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sz w:val="24"/>
          <w:highlight w:val="none"/>
        </w:rPr>
        <w:t>4.1.3投标人应充分考虑到网络环境、网络带宽等因素，因投标人自身原因造 成的投标文件上传不成功由投标人自行承担全部责任。</w:t>
      </w:r>
    </w:p>
    <w:p w14:paraId="23D66834">
      <w:pPr>
        <w:pStyle w:val="8"/>
        <w:spacing w:line="360" w:lineRule="auto"/>
        <w:ind w:firstLine="488" w:firstLineChars="200"/>
        <w:jc w:val="left"/>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4.2 投标截止期</w:t>
      </w:r>
    </w:p>
    <w:p w14:paraId="56B9187B">
      <w:pPr>
        <w:pStyle w:val="8"/>
        <w:spacing w:line="360" w:lineRule="auto"/>
        <w:ind w:firstLine="488" w:firstLineChars="200"/>
        <w:jc w:val="left"/>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4.2.1 投标文件必须在“投标须知前附表”中规定的投标截止期前上传到指定位置。</w:t>
      </w:r>
    </w:p>
    <w:p w14:paraId="4823137E">
      <w:pPr>
        <w:pStyle w:val="8"/>
        <w:spacing w:line="360" w:lineRule="auto"/>
        <w:ind w:firstLine="488" w:firstLineChars="200"/>
        <w:jc w:val="left"/>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4.2.2 采购代理机构可以按本须知 2.3.2 条款规定，通过修改采购文件自行决定酌情延长投标截止期。在此情况下，采购代理机构、采购单位和投标供应商受投标截止期制约的所有权利和义务均应延长至新的截止期。</w:t>
      </w:r>
    </w:p>
    <w:p w14:paraId="2F52FBBD">
      <w:pPr>
        <w:pStyle w:val="8"/>
        <w:spacing w:line="360" w:lineRule="auto"/>
        <w:ind w:firstLine="488" w:firstLineChars="200"/>
        <w:jc w:val="left"/>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4.3 迟交的投标文件</w:t>
      </w:r>
    </w:p>
    <w:p w14:paraId="1DDDD955">
      <w:pPr>
        <w:pStyle w:val="8"/>
        <w:spacing w:line="360" w:lineRule="auto"/>
        <w:ind w:firstLine="488" w:firstLineChars="200"/>
        <w:jc w:val="left"/>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4.3.1 在“投标须知前附表”中规定的投标截止期后送到的任何投标文件，采购代理机构将拒绝接收。</w:t>
      </w:r>
    </w:p>
    <w:p w14:paraId="5CC85B3A">
      <w:pPr>
        <w:pStyle w:val="8"/>
        <w:spacing w:line="360" w:lineRule="auto"/>
        <w:ind w:firstLine="488" w:firstLineChars="200"/>
        <w:jc w:val="left"/>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4.4 投标文件的修改与撤回</w:t>
      </w:r>
    </w:p>
    <w:p w14:paraId="183CC214">
      <w:pPr>
        <w:pStyle w:val="8"/>
        <w:spacing w:line="360" w:lineRule="auto"/>
        <w:ind w:firstLine="488" w:firstLineChars="200"/>
        <w:jc w:val="left"/>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4.4.1 投标供应商在递交投标文件前，可以修改或撤回其投标，但采购代理机构必须在规定的投标截止期之前，收到修改或撤回的书面通知。</w:t>
      </w:r>
    </w:p>
    <w:p w14:paraId="587C582B">
      <w:pPr>
        <w:pStyle w:val="8"/>
        <w:spacing w:line="360" w:lineRule="auto"/>
        <w:ind w:firstLine="488" w:firstLineChars="200"/>
        <w:jc w:val="left"/>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4.4.2 投标供应商的修改或撤回通知应按本须知 4.1 条款规定编制、密封、标记和送达。</w:t>
      </w:r>
    </w:p>
    <w:p w14:paraId="1973B86B">
      <w:pPr>
        <w:pStyle w:val="8"/>
        <w:spacing w:line="360" w:lineRule="auto"/>
        <w:ind w:firstLine="488" w:firstLineChars="200"/>
        <w:jc w:val="left"/>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4.4.3 在投标截止期之后，投标供应商不得对其投标做任何修改。</w:t>
      </w:r>
    </w:p>
    <w:p w14:paraId="6999CDCA">
      <w:pPr>
        <w:pStyle w:val="8"/>
        <w:spacing w:line="360" w:lineRule="auto"/>
        <w:ind w:firstLine="488" w:firstLineChars="200"/>
        <w:jc w:val="left"/>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4.4.4 从投标截止期至投标供应商在投标书格式中确定的投标有效期之间的这段时间内，投标供应商不得撤回其投标，否则其投标保证金将按照本须知 3.7.5.3 条款规定不予退还。</w:t>
      </w:r>
    </w:p>
    <w:p w14:paraId="61548AD3">
      <w:pPr>
        <w:pStyle w:val="8"/>
        <w:spacing w:line="360" w:lineRule="auto"/>
        <w:ind w:firstLine="488" w:firstLineChars="200"/>
        <w:jc w:val="left"/>
        <w:rPr>
          <w:rFonts w:asciiTheme="majorEastAsia" w:hAnsiTheme="majorEastAsia" w:eastAsiaTheme="majorEastAsia" w:cstheme="majorEastAsia"/>
          <w:color w:val="auto"/>
          <w:sz w:val="24"/>
          <w:highlight w:val="none"/>
        </w:rPr>
      </w:pPr>
    </w:p>
    <w:p w14:paraId="41A54855">
      <w:pPr>
        <w:pStyle w:val="8"/>
        <w:spacing w:line="360" w:lineRule="auto"/>
        <w:jc w:val="center"/>
        <w:rPr>
          <w:rFonts w:asciiTheme="majorEastAsia" w:hAnsiTheme="majorEastAsia" w:eastAsiaTheme="majorEastAsia" w:cstheme="majorEastAsia"/>
          <w:b/>
          <w:color w:val="auto"/>
          <w:sz w:val="28"/>
          <w:highlight w:val="none"/>
        </w:rPr>
      </w:pPr>
      <w:r>
        <w:rPr>
          <w:rFonts w:hint="eastAsia" w:asciiTheme="majorEastAsia" w:hAnsiTheme="majorEastAsia" w:eastAsiaTheme="majorEastAsia" w:cstheme="majorEastAsia"/>
          <w:b/>
          <w:color w:val="auto"/>
          <w:sz w:val="28"/>
          <w:highlight w:val="none"/>
        </w:rPr>
        <w:t>五、开标、评标及定标</w:t>
      </w:r>
    </w:p>
    <w:p w14:paraId="460091BF">
      <w:pPr>
        <w:pStyle w:val="8"/>
        <w:spacing w:line="360" w:lineRule="auto"/>
        <w:ind w:firstLine="488" w:firstLineChars="200"/>
        <w:jc w:val="left"/>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5.1 开标</w:t>
      </w:r>
    </w:p>
    <w:p w14:paraId="7055CF58">
      <w:pPr>
        <w:pStyle w:val="8"/>
        <w:spacing w:line="360" w:lineRule="auto"/>
        <w:ind w:firstLine="488" w:firstLineChars="200"/>
        <w:jc w:val="left"/>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5.1.1 采购代理机构在“投标须知前附表”中规定的日期、时间和地点组织开标会议。</w:t>
      </w:r>
    </w:p>
    <w:p w14:paraId="5640C5AB">
      <w:pPr>
        <w:pStyle w:val="8"/>
        <w:spacing w:line="360" w:lineRule="auto"/>
        <w:ind w:firstLine="488" w:firstLineChars="200"/>
        <w:jc w:val="left"/>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5.1.2 采购代理机构通过贵州省公共资源交易公共服务平台发出投标文件解密指令，投标人应在解密指令发出后使用数字（CA）证书或移动（CA）证书（贵州交易通 APP、标信通 APP）进行解密。投标人因自身原因解密不成功的，视为撤销投标文件，投标无效。</w:t>
      </w:r>
    </w:p>
    <w:p w14:paraId="153F7CD0">
      <w:pPr>
        <w:pStyle w:val="8"/>
        <w:spacing w:line="360" w:lineRule="auto"/>
        <w:ind w:firstLine="488" w:firstLineChars="200"/>
        <w:jc w:val="left"/>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sz w:val="24"/>
          <w:highlight w:val="none"/>
        </w:rPr>
        <w:t>5.1.3 投标人均解密完成后，由全国公共资源交易平台（贵州省·黔南州）对解密投标报价进行线上唱标。投标人须注意，唱标行为本身不作为证明投标文件有效的依据。</w:t>
      </w:r>
      <w:r>
        <w:rPr>
          <w:rFonts w:hint="eastAsia" w:asciiTheme="majorEastAsia" w:hAnsiTheme="majorEastAsia" w:eastAsiaTheme="majorEastAsia" w:cstheme="majorEastAsia"/>
          <w:b/>
          <w:bCs/>
          <w:color w:val="auto"/>
          <w:kern w:val="0"/>
          <w:sz w:val="20"/>
          <w:szCs w:val="20"/>
          <w:highlight w:val="none"/>
          <w:lang w:bidi="ar"/>
        </w:rPr>
        <w:t xml:space="preserve"> </w:t>
      </w:r>
    </w:p>
    <w:p w14:paraId="505A5A81">
      <w:pPr>
        <w:pStyle w:val="8"/>
        <w:spacing w:line="360" w:lineRule="auto"/>
        <w:ind w:firstLine="488" w:firstLineChars="200"/>
        <w:jc w:val="left"/>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5.1.4 开标注意事项：投标人应妥善保管数字（CA）证书，确认数字（CA）证书或移动（CA）证书（贵州交易通 APP、标信通 APP）在有效期内，由于证书遗失、损坏、更换、续期等原因导致投标文件无法成功解密的，投标人自行承担责任。</w:t>
      </w:r>
    </w:p>
    <w:p w14:paraId="0A238DBF">
      <w:pPr>
        <w:pStyle w:val="8"/>
        <w:spacing w:line="360" w:lineRule="auto"/>
        <w:ind w:firstLine="488" w:firstLineChars="200"/>
        <w:jc w:val="left"/>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5.1.4 全国公共资源交易平台（贵州省·黔南州）平台出现下列情形的，将暂停线上开标程序。</w:t>
      </w:r>
    </w:p>
    <w:p w14:paraId="1774DA58">
      <w:pPr>
        <w:pStyle w:val="8"/>
        <w:spacing w:line="360" w:lineRule="auto"/>
        <w:ind w:firstLine="488" w:firstLineChars="200"/>
        <w:jc w:val="left"/>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5.1.4.1开标项目电子服务、交易系统服务器发生故障，导致无法访问网站或无法使用系统。</w:t>
      </w:r>
    </w:p>
    <w:p w14:paraId="771CC785">
      <w:pPr>
        <w:pStyle w:val="8"/>
        <w:spacing w:line="360" w:lineRule="auto"/>
        <w:ind w:firstLine="488" w:firstLineChars="200"/>
        <w:jc w:val="left"/>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5.1.4.2开标项目电子服务、交易系统的软件或网络数据库出现错误，不能进行正常操作的。</w:t>
      </w:r>
    </w:p>
    <w:p w14:paraId="483276DA">
      <w:pPr>
        <w:pStyle w:val="8"/>
        <w:spacing w:line="360" w:lineRule="auto"/>
        <w:ind w:firstLine="488" w:firstLineChars="200"/>
        <w:jc w:val="left"/>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5.1.4.3系统存在安全漏洞，有潜在泄密风险的。</w:t>
      </w:r>
    </w:p>
    <w:p w14:paraId="0602E24A">
      <w:pPr>
        <w:pStyle w:val="8"/>
        <w:spacing w:line="360" w:lineRule="auto"/>
        <w:ind w:firstLine="488" w:firstLineChars="200"/>
        <w:jc w:val="left"/>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5.1.4.4交易系统计算机病毒发作，导致系统无法正常运行的。</w:t>
      </w:r>
    </w:p>
    <w:p w14:paraId="21A4B2B5">
      <w:pPr>
        <w:pStyle w:val="8"/>
        <w:spacing w:line="360" w:lineRule="auto"/>
        <w:ind w:firstLine="488" w:firstLineChars="200"/>
        <w:jc w:val="left"/>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5.1.4.5电力系统发生故障，导致交易系统无法运行的。</w:t>
      </w:r>
    </w:p>
    <w:p w14:paraId="6CA54A35">
      <w:pPr>
        <w:pStyle w:val="8"/>
        <w:spacing w:line="360" w:lineRule="auto"/>
        <w:ind w:firstLine="488" w:firstLineChars="200"/>
        <w:jc w:val="left"/>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5.1.4.6其他非投标人原因，导致开标无法正常运行。</w:t>
      </w:r>
    </w:p>
    <w:p w14:paraId="2B1E3FC0">
      <w:pPr>
        <w:pStyle w:val="8"/>
        <w:spacing w:line="360" w:lineRule="auto"/>
        <w:ind w:firstLine="488" w:firstLineChars="200"/>
        <w:jc w:val="left"/>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上述情形导致系统故障在短时间内无法解决排除的，或其他不可抗力因素，无法继续使用的情况时，暂停线上开标和评标程序；由招标人(采购人) 或代理机构、交易中心研究提出意见，视情况向监督部门报告；系统故障在三个小时内排除的项目开标重新启动， 三个小时内未排除的，另行通知网上开标时间。</w:t>
      </w:r>
    </w:p>
    <w:p w14:paraId="59359D76">
      <w:pPr>
        <w:pStyle w:val="8"/>
        <w:spacing w:line="360" w:lineRule="auto"/>
        <w:ind w:firstLine="488" w:firstLineChars="200"/>
        <w:jc w:val="left"/>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5.1.5 投标截止时间结束后，出现符合专业条件的投标供应商或者对采购文件作出实质响应的投标供应商不足三家情形的，除采购任务取消情形外，采购单位将报财政部门后按照以下原则处理：</w:t>
      </w:r>
    </w:p>
    <w:p w14:paraId="1E8CAC70">
      <w:pPr>
        <w:pStyle w:val="8"/>
        <w:spacing w:line="360" w:lineRule="auto"/>
        <w:ind w:firstLine="488" w:firstLineChars="200"/>
        <w:jc w:val="left"/>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5.1.5.1 采购文件没有不合理条款，招标公告时间及程序符合规定的，采取竞争性谈判、单一来源方式采购。</w:t>
      </w:r>
    </w:p>
    <w:p w14:paraId="7BFCAA53">
      <w:pPr>
        <w:pStyle w:val="8"/>
        <w:spacing w:line="360" w:lineRule="auto"/>
        <w:ind w:firstLine="488" w:firstLineChars="200"/>
        <w:jc w:val="left"/>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5.1.5.2 采购文件存在不合理条款的，招标公告时间及程序不符合规定的，应予废标，并由采购单位依法重新招标。</w:t>
      </w:r>
    </w:p>
    <w:p w14:paraId="79465990">
      <w:pPr>
        <w:pStyle w:val="8"/>
        <w:spacing w:line="360" w:lineRule="auto"/>
        <w:ind w:firstLine="488" w:firstLineChars="200"/>
        <w:jc w:val="left"/>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5.2 评标委员会</w:t>
      </w:r>
    </w:p>
    <w:p w14:paraId="7EC16921">
      <w:pPr>
        <w:pStyle w:val="8"/>
        <w:spacing w:line="360" w:lineRule="auto"/>
        <w:ind w:firstLine="488" w:firstLineChars="200"/>
        <w:jc w:val="left"/>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按照《中华人民共和国政府采购法》和国家有关规定，依法组成评标委员会，评标委员会由采购人熟悉相关业务的代表 1人，和有关技术、经济等方面的专家4人，共5人组成，其中技术、经济等方面的专家不少于成员总数的三分之二。</w:t>
      </w:r>
    </w:p>
    <w:p w14:paraId="70C1B232">
      <w:pPr>
        <w:pStyle w:val="8"/>
        <w:spacing w:line="360" w:lineRule="auto"/>
        <w:ind w:firstLine="488" w:firstLineChars="200"/>
        <w:jc w:val="left"/>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5.2.2 评标委员会成员有下列情形之一的，应当回避：</w:t>
      </w:r>
    </w:p>
    <w:p w14:paraId="62DFA53C">
      <w:pPr>
        <w:pStyle w:val="8"/>
        <w:spacing w:line="360" w:lineRule="auto"/>
        <w:ind w:firstLine="488" w:firstLineChars="200"/>
        <w:jc w:val="left"/>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①参加采购活动前 3 年内与投标人存在劳动关系；</w:t>
      </w:r>
    </w:p>
    <w:p w14:paraId="5E05F8F9">
      <w:pPr>
        <w:pStyle w:val="8"/>
        <w:spacing w:line="360" w:lineRule="auto"/>
        <w:ind w:firstLine="488" w:firstLineChars="200"/>
        <w:jc w:val="left"/>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②参加采购活动前 3 年内担任投标人的董事、监事；</w:t>
      </w:r>
    </w:p>
    <w:p w14:paraId="47B74FCB">
      <w:pPr>
        <w:pStyle w:val="8"/>
        <w:spacing w:line="360" w:lineRule="auto"/>
        <w:ind w:firstLine="488" w:firstLineChars="200"/>
        <w:jc w:val="left"/>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③参加采购活动前 3 年内是投标人的控股股东或者实际控制人；</w:t>
      </w:r>
    </w:p>
    <w:p w14:paraId="66DC8D1D">
      <w:pPr>
        <w:pStyle w:val="8"/>
        <w:spacing w:line="360" w:lineRule="auto"/>
        <w:ind w:firstLine="488" w:firstLineChars="200"/>
        <w:jc w:val="left"/>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④与投标人的法定代表人或者负责人有夫妻、直系血亲、三代以内旁系血亲或者近姻亲关系；</w:t>
      </w:r>
    </w:p>
    <w:p w14:paraId="2E320FF6">
      <w:pPr>
        <w:pStyle w:val="8"/>
        <w:spacing w:line="360" w:lineRule="auto"/>
        <w:ind w:firstLine="488" w:firstLineChars="200"/>
        <w:jc w:val="left"/>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⑤与投标人有其他可能影响政府采购活动公平、公正进行的关系。</w:t>
      </w:r>
    </w:p>
    <w:p w14:paraId="66767864">
      <w:pPr>
        <w:pStyle w:val="8"/>
        <w:spacing w:line="360" w:lineRule="auto"/>
        <w:ind w:firstLine="488" w:firstLineChars="200"/>
        <w:jc w:val="left"/>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5.2.3 评标委员会负责具体评标事务，并独立履行下列职责：</w:t>
      </w:r>
    </w:p>
    <w:p w14:paraId="06A61E08">
      <w:pPr>
        <w:pStyle w:val="8"/>
        <w:spacing w:line="360" w:lineRule="auto"/>
        <w:ind w:firstLine="488" w:firstLineChars="200"/>
        <w:jc w:val="left"/>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①审查、评价投标文件是否符合采购文件的商务、技术等实质性要求；</w:t>
      </w:r>
    </w:p>
    <w:p w14:paraId="258AD26B">
      <w:pPr>
        <w:pStyle w:val="8"/>
        <w:spacing w:line="360" w:lineRule="auto"/>
        <w:ind w:firstLine="488" w:firstLineChars="200"/>
        <w:jc w:val="left"/>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②要求投标人对投标文件有关事项作出澄清或者说明；</w:t>
      </w:r>
    </w:p>
    <w:p w14:paraId="5006EED3">
      <w:pPr>
        <w:pStyle w:val="8"/>
        <w:spacing w:line="360" w:lineRule="auto"/>
        <w:ind w:firstLine="488" w:firstLineChars="200"/>
        <w:jc w:val="left"/>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③对投标文件进行比较和评价；</w:t>
      </w:r>
    </w:p>
    <w:p w14:paraId="0AC5AA2A">
      <w:pPr>
        <w:pStyle w:val="8"/>
        <w:spacing w:line="360" w:lineRule="auto"/>
        <w:ind w:firstLine="488" w:firstLineChars="200"/>
        <w:jc w:val="left"/>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④确定中标候选人名单，以及根据采购人委托直接确定中标人；</w:t>
      </w:r>
    </w:p>
    <w:p w14:paraId="150734B2">
      <w:pPr>
        <w:pStyle w:val="8"/>
        <w:spacing w:line="360" w:lineRule="auto"/>
        <w:ind w:firstLine="488" w:firstLineChars="200"/>
        <w:jc w:val="left"/>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⑤向采购人、采购代理机构或者有关部门报告评标中发现的违法行为。</w:t>
      </w:r>
    </w:p>
    <w:p w14:paraId="2F31BAC1">
      <w:pPr>
        <w:pStyle w:val="8"/>
        <w:spacing w:line="360" w:lineRule="auto"/>
        <w:ind w:firstLine="488" w:firstLineChars="200"/>
        <w:jc w:val="left"/>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5.2.4 评标委员会及其成员不得有下列行为：</w:t>
      </w:r>
    </w:p>
    <w:p w14:paraId="4AAE857A">
      <w:pPr>
        <w:pStyle w:val="8"/>
        <w:spacing w:line="360" w:lineRule="auto"/>
        <w:ind w:firstLine="488" w:firstLineChars="200"/>
        <w:jc w:val="left"/>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①确定参与评标至评标结束前私自接触投标人；</w:t>
      </w:r>
    </w:p>
    <w:p w14:paraId="60F733DB">
      <w:pPr>
        <w:pStyle w:val="8"/>
        <w:spacing w:line="360" w:lineRule="auto"/>
        <w:ind w:firstLine="488" w:firstLineChars="200"/>
        <w:jc w:val="left"/>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②接受投标人提出的与投标文件不一致的澄清或者说明，评标委员会要求投标人作出必要的澄清、说明或者补正的情形除外；</w:t>
      </w:r>
    </w:p>
    <w:p w14:paraId="23D45F04">
      <w:pPr>
        <w:pStyle w:val="8"/>
        <w:spacing w:line="360" w:lineRule="auto"/>
        <w:ind w:firstLine="488" w:firstLineChars="200"/>
        <w:jc w:val="left"/>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③违反评标纪律发表倾向性意见或者征询采购人的倾向性意见；</w:t>
      </w:r>
    </w:p>
    <w:p w14:paraId="1751E4F2">
      <w:pPr>
        <w:pStyle w:val="8"/>
        <w:spacing w:line="360" w:lineRule="auto"/>
        <w:ind w:firstLine="488" w:firstLineChars="200"/>
        <w:jc w:val="left"/>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④对需要专业判断的主观评审因素协商评分；</w:t>
      </w:r>
    </w:p>
    <w:p w14:paraId="3735898B">
      <w:pPr>
        <w:pStyle w:val="8"/>
        <w:spacing w:line="360" w:lineRule="auto"/>
        <w:ind w:firstLine="488" w:firstLineChars="200"/>
        <w:jc w:val="left"/>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⑤在评标过程中擅离职守，影响评标程序正常进行的；</w:t>
      </w:r>
    </w:p>
    <w:p w14:paraId="1A636586">
      <w:pPr>
        <w:pStyle w:val="8"/>
        <w:spacing w:line="360" w:lineRule="auto"/>
        <w:ind w:firstLine="488" w:firstLineChars="200"/>
        <w:jc w:val="left"/>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⑥记录、复制或者带走任何评标资料；</w:t>
      </w:r>
    </w:p>
    <w:p w14:paraId="2F5E9EC2">
      <w:pPr>
        <w:pStyle w:val="8"/>
        <w:spacing w:line="360" w:lineRule="auto"/>
        <w:ind w:firstLine="488" w:firstLineChars="200"/>
        <w:jc w:val="left"/>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⑦其他不遵守评标纪律的行为。</w:t>
      </w:r>
    </w:p>
    <w:p w14:paraId="2D5D73A7">
      <w:pPr>
        <w:pStyle w:val="8"/>
        <w:spacing w:line="360" w:lineRule="auto"/>
        <w:ind w:firstLine="488" w:firstLineChars="200"/>
        <w:jc w:val="left"/>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5.3 投标文件的澄清</w:t>
      </w:r>
    </w:p>
    <w:p w14:paraId="4F371221">
      <w:pPr>
        <w:pStyle w:val="8"/>
        <w:spacing w:line="360" w:lineRule="auto"/>
        <w:ind w:firstLine="488" w:firstLineChars="200"/>
        <w:jc w:val="left"/>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5.3.1 在评标期间，评标委员会有权就投标文件中含糊不清之处向投标人提出询问或澄清要求，投标人必须按照采购代理机构通知的时间、地点派技术和商务人员进行答疑和澄清。</w:t>
      </w:r>
    </w:p>
    <w:p w14:paraId="50E3D97A">
      <w:pPr>
        <w:pStyle w:val="8"/>
        <w:spacing w:line="360" w:lineRule="auto"/>
        <w:ind w:firstLine="488" w:firstLineChars="200"/>
        <w:jc w:val="left"/>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5.3.2 必要时评标委员会有权要求投标人就澄清的问题作书面回答，该书面回答应有投标人法定代表人或其授权委托人的签字，并将该书面回答作为投标内容的一部分。</w:t>
      </w:r>
    </w:p>
    <w:p w14:paraId="0E1A3D10">
      <w:pPr>
        <w:pStyle w:val="8"/>
        <w:spacing w:line="360" w:lineRule="auto"/>
        <w:ind w:firstLine="488" w:firstLineChars="200"/>
        <w:jc w:val="left"/>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5.3.3 评标委员会要求投标人对其投标文件进行澄清，但不得寻求、提供或允许对投标价格、漏项等实质性内容做任何更改。</w:t>
      </w:r>
    </w:p>
    <w:p w14:paraId="4F747B55">
      <w:pPr>
        <w:pStyle w:val="8"/>
        <w:spacing w:line="360" w:lineRule="auto"/>
        <w:ind w:firstLine="488" w:firstLineChars="200"/>
        <w:jc w:val="left"/>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5.4 投标文件的修正</w:t>
      </w:r>
    </w:p>
    <w:p w14:paraId="5D2125FC">
      <w:pPr>
        <w:pStyle w:val="8"/>
        <w:spacing w:line="360" w:lineRule="auto"/>
        <w:ind w:firstLine="488" w:firstLineChars="200"/>
        <w:jc w:val="left"/>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5.4.1 评标委员会将审查投标文件是否完整、总体编排是否有序、文件签署是否合格、</w:t>
      </w:r>
    </w:p>
    <w:p w14:paraId="506E5D06">
      <w:pPr>
        <w:pStyle w:val="8"/>
        <w:spacing w:line="360" w:lineRule="auto"/>
        <w:ind w:firstLine="488" w:firstLineChars="200"/>
        <w:jc w:val="left"/>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投标人是否提交了投标保证金、有无计算上的错误等。</w:t>
      </w:r>
    </w:p>
    <w:p w14:paraId="24942C8F">
      <w:pPr>
        <w:pStyle w:val="8"/>
        <w:spacing w:line="360" w:lineRule="auto"/>
        <w:ind w:firstLine="488" w:firstLineChars="200"/>
        <w:jc w:val="left"/>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5.4.2 算术错误将按以下方法更正：若用文字表示的数值与用数字表示的数值不一致，</w:t>
      </w:r>
    </w:p>
    <w:p w14:paraId="2EFB95AD">
      <w:pPr>
        <w:pStyle w:val="8"/>
        <w:spacing w:line="360" w:lineRule="auto"/>
        <w:jc w:val="left"/>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以文字表示的数值为准。如果投标人不接受对其错误的更正，其投标将被拒绝。</w:t>
      </w:r>
    </w:p>
    <w:p w14:paraId="682CB23A">
      <w:pPr>
        <w:pStyle w:val="8"/>
        <w:spacing w:line="360" w:lineRule="auto"/>
        <w:ind w:firstLine="488" w:firstLineChars="200"/>
        <w:jc w:val="left"/>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5.4.3 对于投标文件中不构成实质性偏差的不正规、不一致或不规则，评标委员会可以接受，但这种接受不能损害或影响任何投标人的相对排序。</w:t>
      </w:r>
    </w:p>
    <w:p w14:paraId="256C2CBA">
      <w:pPr>
        <w:pStyle w:val="8"/>
        <w:spacing w:line="360" w:lineRule="auto"/>
        <w:ind w:firstLine="488" w:firstLineChars="200"/>
        <w:jc w:val="left"/>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5.4.4 评标委员会将要审查每份投标文件是否实质上响应了采购文件的要求。实质性响应是指无实质性偏离、反对、设定条件或提出保留，与采购文件要求的全部条款、条件和规格相符。实质性偏离是指：</w:t>
      </w:r>
    </w:p>
    <w:p w14:paraId="4AC57A65">
      <w:pPr>
        <w:pStyle w:val="8"/>
        <w:spacing w:line="360" w:lineRule="auto"/>
        <w:ind w:firstLine="488" w:firstLineChars="200"/>
        <w:jc w:val="left"/>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5.4.4.1 实质性影响合同的范围、质量和履行；</w:t>
      </w:r>
    </w:p>
    <w:p w14:paraId="00402EF2">
      <w:pPr>
        <w:pStyle w:val="8"/>
        <w:spacing w:line="360" w:lineRule="auto"/>
        <w:ind w:firstLine="488" w:firstLineChars="200"/>
        <w:jc w:val="left"/>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5.4.4.2 实质性违背采购文件，限制了采购人的权利和中标人合同项下的义务；</w:t>
      </w:r>
    </w:p>
    <w:p w14:paraId="51BFBC1C">
      <w:pPr>
        <w:pStyle w:val="8"/>
        <w:spacing w:line="360" w:lineRule="auto"/>
        <w:ind w:firstLine="488" w:firstLineChars="200"/>
        <w:jc w:val="left"/>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5.4.4.3 不公正地影响了其它作出实质性响应的投标人的竞争地位；</w:t>
      </w:r>
    </w:p>
    <w:p w14:paraId="416F178C">
      <w:pPr>
        <w:pStyle w:val="8"/>
        <w:spacing w:line="360" w:lineRule="auto"/>
        <w:ind w:firstLine="488" w:firstLineChars="200"/>
        <w:jc w:val="left"/>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5.4.4.4 评标委员会决定投标的响应性只根据投标文件本身的内容，而不寻求外部的证据。</w:t>
      </w:r>
    </w:p>
    <w:p w14:paraId="42C2A534">
      <w:pPr>
        <w:pStyle w:val="8"/>
        <w:spacing w:line="360" w:lineRule="auto"/>
        <w:ind w:firstLine="488" w:firstLineChars="200"/>
        <w:jc w:val="left"/>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5.4.5 实质上没有响应采购文件要求的投标将被拒绝。投标人不得通过修正或撤消不合要求的偏离或保留从而使其投标成为实质上响应的投标。</w:t>
      </w:r>
    </w:p>
    <w:p w14:paraId="6B0D1CC3">
      <w:pPr>
        <w:pStyle w:val="8"/>
        <w:spacing w:line="360" w:lineRule="auto"/>
        <w:ind w:firstLine="488" w:firstLineChars="200"/>
        <w:jc w:val="left"/>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5.5 无效标条款</w:t>
      </w:r>
    </w:p>
    <w:p w14:paraId="2D5D8CEE">
      <w:pPr>
        <w:pStyle w:val="8"/>
        <w:spacing w:line="360" w:lineRule="auto"/>
        <w:ind w:firstLine="488" w:firstLineChars="200"/>
        <w:jc w:val="left"/>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出现下列情形之一的，投标人递交的投标文件作无效投标处理，该投标人的投标文件不参与评审，且不计算入投标人家数：</w:t>
      </w:r>
    </w:p>
    <w:p w14:paraId="115EEA2B">
      <w:pPr>
        <w:pStyle w:val="8"/>
        <w:spacing w:line="360" w:lineRule="auto"/>
        <w:ind w:firstLine="488" w:firstLineChars="200"/>
        <w:jc w:val="left"/>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5.5.1 递交的投标文件不完整或未按采购文件要求盖公章及签字的；</w:t>
      </w:r>
    </w:p>
    <w:p w14:paraId="5A1B0AEE">
      <w:pPr>
        <w:pStyle w:val="8"/>
        <w:spacing w:line="360" w:lineRule="auto"/>
        <w:ind w:firstLine="488" w:firstLineChars="200"/>
        <w:jc w:val="left"/>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5.5.2 投标人不符合国家及采购文件规定的资格条件的；</w:t>
      </w:r>
    </w:p>
    <w:p w14:paraId="1F9241FA">
      <w:pPr>
        <w:pStyle w:val="8"/>
        <w:spacing w:line="360" w:lineRule="auto"/>
        <w:ind w:firstLine="488" w:firstLineChars="200"/>
        <w:jc w:val="left"/>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5.5.3 项目接受联合体投标时，投标联合体未提交联合投标协议的；</w:t>
      </w:r>
    </w:p>
    <w:p w14:paraId="2DE597DF">
      <w:pPr>
        <w:pStyle w:val="8"/>
        <w:spacing w:line="360" w:lineRule="auto"/>
        <w:ind w:firstLine="488" w:firstLineChars="200"/>
        <w:jc w:val="left"/>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5.5.4 投标报价经评审委员会认定低于成本价的；</w:t>
      </w:r>
    </w:p>
    <w:p w14:paraId="1A36F93E">
      <w:pPr>
        <w:pStyle w:val="8"/>
        <w:spacing w:line="360" w:lineRule="auto"/>
        <w:ind w:firstLine="488" w:firstLineChars="200"/>
        <w:jc w:val="left"/>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5.5.5 投标报价超过采购文件载明的最高投标限价的；</w:t>
      </w:r>
    </w:p>
    <w:p w14:paraId="77610306">
      <w:pPr>
        <w:pStyle w:val="8"/>
        <w:spacing w:line="360" w:lineRule="auto"/>
        <w:ind w:firstLine="488" w:firstLineChars="200"/>
        <w:jc w:val="left"/>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5.5.6 投标文件未对采购文件的实质性要求和条件作出响应的；</w:t>
      </w:r>
    </w:p>
    <w:p w14:paraId="4E6E6AA0">
      <w:pPr>
        <w:pStyle w:val="8"/>
        <w:spacing w:line="360" w:lineRule="auto"/>
        <w:ind w:firstLine="488" w:firstLineChars="200"/>
        <w:jc w:val="left"/>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5.5.7 投标文件未按规定密封、签署和盖章的及投标文件份数不符合采购文件要求的；</w:t>
      </w:r>
    </w:p>
    <w:p w14:paraId="34503DC1">
      <w:pPr>
        <w:pStyle w:val="8"/>
        <w:spacing w:line="360" w:lineRule="auto"/>
        <w:ind w:firstLine="488" w:firstLineChars="200"/>
        <w:jc w:val="left"/>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5.5.8 投标文件未按时送达上传的。</w:t>
      </w:r>
    </w:p>
    <w:p w14:paraId="26B1B7F3">
      <w:pPr>
        <w:pStyle w:val="8"/>
        <w:spacing w:line="360" w:lineRule="auto"/>
        <w:ind w:firstLine="488" w:firstLineChars="200"/>
        <w:jc w:val="left"/>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5.5.9 投标人未按照采购文件要求提交投标保证金的；</w:t>
      </w:r>
    </w:p>
    <w:p w14:paraId="016E9B8A">
      <w:pPr>
        <w:pStyle w:val="8"/>
        <w:spacing w:line="360" w:lineRule="auto"/>
        <w:ind w:firstLine="488" w:firstLineChars="200"/>
        <w:jc w:val="left"/>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5.5.10 投标人有串通投标、弄虚作假、行贿等违法行为的；</w:t>
      </w:r>
    </w:p>
    <w:p w14:paraId="58BF7B79">
      <w:pPr>
        <w:pStyle w:val="8"/>
        <w:spacing w:line="360" w:lineRule="auto"/>
        <w:ind w:firstLine="488" w:firstLineChars="200"/>
        <w:jc w:val="left"/>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5.5.11 有下列情形之一的，视为投标人串通投标，其投标无效：</w:t>
      </w:r>
    </w:p>
    <w:p w14:paraId="16A49A10">
      <w:pPr>
        <w:pStyle w:val="8"/>
        <w:spacing w:line="360" w:lineRule="auto"/>
        <w:ind w:firstLine="488" w:firstLineChars="200"/>
        <w:jc w:val="left"/>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①不同投标人的投标文件由同一单位或者个人编制；</w:t>
      </w:r>
    </w:p>
    <w:p w14:paraId="304D7B2C">
      <w:pPr>
        <w:pStyle w:val="8"/>
        <w:spacing w:line="360" w:lineRule="auto"/>
        <w:ind w:firstLine="488" w:firstLineChars="200"/>
        <w:jc w:val="left"/>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②不同投标人委托同一单位或者个人办理投标事宜；</w:t>
      </w:r>
    </w:p>
    <w:p w14:paraId="0BC91301">
      <w:pPr>
        <w:pStyle w:val="8"/>
        <w:spacing w:line="360" w:lineRule="auto"/>
        <w:ind w:firstLine="488" w:firstLineChars="200"/>
        <w:jc w:val="left"/>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③不同投标人的投标文件载明的项目管理成员或者联系人员为同一人；</w:t>
      </w:r>
    </w:p>
    <w:p w14:paraId="767EBB65">
      <w:pPr>
        <w:pStyle w:val="8"/>
        <w:spacing w:line="360" w:lineRule="auto"/>
        <w:ind w:firstLine="488" w:firstLineChars="200"/>
        <w:jc w:val="left"/>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④不同投标人的投标文件异常一致或者谈判报价呈规律性差异；</w:t>
      </w:r>
    </w:p>
    <w:p w14:paraId="4C73A5E2">
      <w:pPr>
        <w:pStyle w:val="8"/>
        <w:spacing w:line="360" w:lineRule="auto"/>
        <w:ind w:firstLine="488" w:firstLineChars="200"/>
        <w:jc w:val="left"/>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⑤不同投标人的投标文件相互混装；</w:t>
      </w:r>
    </w:p>
    <w:p w14:paraId="401B404B">
      <w:pPr>
        <w:pStyle w:val="8"/>
        <w:spacing w:line="360" w:lineRule="auto"/>
        <w:ind w:firstLine="488" w:firstLineChars="200"/>
        <w:jc w:val="left"/>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⑥不同投标人的投标保证金从同一单位或者个人的账户转出。</w:t>
      </w:r>
    </w:p>
    <w:p w14:paraId="103B9667">
      <w:pPr>
        <w:pStyle w:val="8"/>
        <w:spacing w:line="360" w:lineRule="auto"/>
        <w:ind w:firstLine="488" w:firstLineChars="200"/>
        <w:jc w:val="left"/>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5.5.12 资格证明文件不全或不真实的；</w:t>
      </w:r>
    </w:p>
    <w:p w14:paraId="062E7CD5">
      <w:pPr>
        <w:pStyle w:val="8"/>
        <w:spacing w:line="360" w:lineRule="auto"/>
        <w:ind w:firstLine="488" w:firstLineChars="200"/>
        <w:jc w:val="left"/>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5.5.13 投标有效期不足的；</w:t>
      </w:r>
    </w:p>
    <w:p w14:paraId="2C5E7874">
      <w:pPr>
        <w:pStyle w:val="8"/>
        <w:spacing w:line="360" w:lineRule="auto"/>
        <w:ind w:firstLine="488" w:firstLineChars="200"/>
        <w:jc w:val="left"/>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5.5.14 投标文件附有采购人不能接受的条件的。</w:t>
      </w:r>
    </w:p>
    <w:p w14:paraId="505F00D8">
      <w:pPr>
        <w:pStyle w:val="8"/>
        <w:spacing w:line="360" w:lineRule="auto"/>
        <w:ind w:firstLine="488" w:firstLineChars="200"/>
        <w:jc w:val="left"/>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5.5.15 投标人提交两份以上内容不同的投标文件未说明哪一个有效，或者在一份投标文件中对同一招标项目有两个以上报价未说明哪一个有效的；</w:t>
      </w:r>
    </w:p>
    <w:p w14:paraId="50BBE8B0">
      <w:pPr>
        <w:pStyle w:val="8"/>
        <w:spacing w:line="360" w:lineRule="auto"/>
        <w:ind w:firstLine="488" w:firstLineChars="200"/>
        <w:jc w:val="left"/>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5.5.16 投标人与在公共资源交易中心报名和购买采购文件的单位在名称和组织结构上不一致，不能提供其权利义务转移的合法有效证明的；</w:t>
      </w:r>
    </w:p>
    <w:p w14:paraId="7C029BBB">
      <w:pPr>
        <w:pStyle w:val="8"/>
        <w:spacing w:line="360" w:lineRule="auto"/>
        <w:ind w:firstLine="488" w:firstLineChars="200"/>
        <w:jc w:val="left"/>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5.5.17 投标文件未胶装成册的（采用打孔装订、活页夹等方式装订的投标文件作为无效投标处理）；</w:t>
      </w:r>
    </w:p>
    <w:p w14:paraId="12E3C90E">
      <w:pPr>
        <w:pStyle w:val="8"/>
        <w:spacing w:line="360" w:lineRule="auto"/>
        <w:ind w:firstLine="488" w:firstLineChars="200"/>
        <w:jc w:val="left"/>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5.5.18 单位负责人为同一人或者存在直接控股、管理关系的不同供应商，不得参加同一合同项下的政府采购活动。</w:t>
      </w:r>
    </w:p>
    <w:p w14:paraId="56C25F20">
      <w:pPr>
        <w:pStyle w:val="8"/>
        <w:spacing w:line="360" w:lineRule="auto"/>
        <w:ind w:firstLine="488" w:firstLineChars="200"/>
        <w:jc w:val="left"/>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5.5.19 除单一来源采购项目外，为采购项目提供整体设计、规范编制或者项目管理、监理、检测等服务的供应商，不得再参加该采购项目的其他采购活动。</w:t>
      </w:r>
    </w:p>
    <w:p w14:paraId="2FA8A91A">
      <w:pPr>
        <w:pStyle w:val="8"/>
        <w:spacing w:line="360" w:lineRule="auto"/>
        <w:ind w:firstLine="488" w:firstLineChars="200"/>
        <w:jc w:val="left"/>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5.6 废标条款</w:t>
      </w:r>
    </w:p>
    <w:p w14:paraId="4ACC0FBB">
      <w:pPr>
        <w:pStyle w:val="8"/>
        <w:spacing w:line="360" w:lineRule="auto"/>
        <w:ind w:firstLine="488" w:firstLineChars="200"/>
        <w:jc w:val="left"/>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有下列情况之一出现的，将作废标处理，项目评审终止：</w:t>
      </w:r>
    </w:p>
    <w:p w14:paraId="2063B0DD">
      <w:pPr>
        <w:pStyle w:val="8"/>
        <w:spacing w:line="360" w:lineRule="auto"/>
        <w:ind w:firstLine="488" w:firstLineChars="200"/>
        <w:jc w:val="left"/>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5.6.1 符合专业条件的或对本采购文件作实质性响应的有效投标人不足三家的；</w:t>
      </w:r>
    </w:p>
    <w:p w14:paraId="7C76E617">
      <w:pPr>
        <w:pStyle w:val="8"/>
        <w:spacing w:line="360" w:lineRule="auto"/>
        <w:ind w:firstLine="488" w:firstLineChars="200"/>
        <w:jc w:val="left"/>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5.6.2 出现影响采购公正的违法、违规行为的；</w:t>
      </w:r>
    </w:p>
    <w:p w14:paraId="36E801EE">
      <w:pPr>
        <w:pStyle w:val="8"/>
        <w:spacing w:line="360" w:lineRule="auto"/>
        <w:ind w:firstLine="488" w:firstLineChars="200"/>
        <w:jc w:val="left"/>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5.6.3 投标人报价均超过了采购预算，采购人不能支付的；</w:t>
      </w:r>
    </w:p>
    <w:p w14:paraId="3EA20958">
      <w:pPr>
        <w:pStyle w:val="8"/>
        <w:spacing w:line="360" w:lineRule="auto"/>
        <w:ind w:firstLine="488" w:firstLineChars="200"/>
        <w:jc w:val="left"/>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5.6.4 因重大变故，采购任务取消的；</w:t>
      </w:r>
    </w:p>
    <w:p w14:paraId="0EC008FC">
      <w:pPr>
        <w:pStyle w:val="8"/>
        <w:spacing w:line="360" w:lineRule="auto"/>
        <w:ind w:firstLine="488" w:firstLineChars="200"/>
        <w:jc w:val="left"/>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5.6.5 法律法规规定的其他情形。</w:t>
      </w:r>
    </w:p>
    <w:p w14:paraId="694FC684">
      <w:pPr>
        <w:pStyle w:val="8"/>
        <w:spacing w:line="360" w:lineRule="auto"/>
        <w:ind w:firstLine="488" w:firstLineChars="200"/>
        <w:jc w:val="left"/>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5.7 评标程序和定标的原则</w:t>
      </w:r>
    </w:p>
    <w:p w14:paraId="68BC04B7">
      <w:pPr>
        <w:pStyle w:val="8"/>
        <w:spacing w:line="360" w:lineRule="auto"/>
        <w:ind w:firstLine="488" w:firstLineChars="200"/>
        <w:jc w:val="left"/>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5.7.1 投标文件的审查</w:t>
      </w:r>
    </w:p>
    <w:p w14:paraId="5BDD0686">
      <w:pPr>
        <w:pStyle w:val="8"/>
        <w:spacing w:line="360" w:lineRule="auto"/>
        <w:ind w:firstLine="488" w:firstLineChars="200"/>
        <w:jc w:val="left"/>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①采购人按照采购文件设置的投标人资格要求对投标人进行资格审查，未通过资格审查的，不得进入评标环节。</w:t>
      </w:r>
    </w:p>
    <w:p w14:paraId="3D4E390D">
      <w:pPr>
        <w:pStyle w:val="8"/>
        <w:spacing w:line="360" w:lineRule="auto"/>
        <w:ind w:firstLine="488" w:firstLineChars="200"/>
        <w:jc w:val="left"/>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②评标委员会只对实质性响应采购文件要求的投标进行符合性评审，审查内容详见符合性审查表。</w:t>
      </w:r>
    </w:p>
    <w:p w14:paraId="0BBCEA02">
      <w:pPr>
        <w:pStyle w:val="8"/>
        <w:spacing w:line="360" w:lineRule="auto"/>
        <w:ind w:firstLine="488" w:firstLineChars="200"/>
        <w:jc w:val="left"/>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③评委会只对符合性合格的投标人按照采购文件规定的评标办法和评分标准进行综合评审。</w:t>
      </w:r>
    </w:p>
    <w:p w14:paraId="07BFBF83">
      <w:pPr>
        <w:pStyle w:val="8"/>
        <w:spacing w:line="360" w:lineRule="auto"/>
        <w:ind w:firstLine="488" w:firstLineChars="200"/>
        <w:jc w:val="left"/>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5.7.2 评标和定标</w:t>
      </w:r>
    </w:p>
    <w:p w14:paraId="05663DE0">
      <w:pPr>
        <w:pStyle w:val="8"/>
        <w:spacing w:line="360" w:lineRule="auto"/>
        <w:ind w:firstLine="488" w:firstLineChars="200"/>
        <w:jc w:val="left"/>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①评标办法：综合评分法，评标委员会只对通过了资格审查和符合性审查的投标进行评审。</w:t>
      </w:r>
    </w:p>
    <w:p w14:paraId="6DEB6BBF">
      <w:pPr>
        <w:pStyle w:val="8"/>
        <w:spacing w:line="360" w:lineRule="auto"/>
        <w:ind w:firstLine="488" w:firstLineChars="200"/>
        <w:jc w:val="left"/>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②评审依据：评标委员会将根据“第四章评标办法”中确定的评标方法和评分标准对合格的投标人递交的投标文件进行评估、比较和定标。</w:t>
      </w:r>
    </w:p>
    <w:p w14:paraId="17DC4F51">
      <w:pPr>
        <w:pStyle w:val="8"/>
        <w:spacing w:line="360" w:lineRule="auto"/>
        <w:ind w:firstLine="488" w:firstLineChars="200"/>
        <w:jc w:val="left"/>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③评标委员会完成评标后，由评标委员会向采购人提出书面报告。招标人根据评标委员会提出的书面报告和推荐的中标候选人中确定中标人。采购人不得选择中标候选人以外的投标人为中标人。</w:t>
      </w:r>
    </w:p>
    <w:p w14:paraId="69C1BB66">
      <w:pPr>
        <w:pStyle w:val="8"/>
        <w:spacing w:line="360" w:lineRule="auto"/>
        <w:ind w:firstLine="488" w:firstLineChars="200"/>
        <w:jc w:val="left"/>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5.7.3 满足以下条件的投标人有可能中标：</w:t>
      </w:r>
    </w:p>
    <w:p w14:paraId="2DDEDCBA">
      <w:pPr>
        <w:pStyle w:val="8"/>
        <w:spacing w:line="360" w:lineRule="auto"/>
        <w:ind w:firstLine="488" w:firstLineChars="200"/>
        <w:jc w:val="left"/>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①技术、商务条件能最大限度地满足《采购文件》的实质性要求；</w:t>
      </w:r>
    </w:p>
    <w:p w14:paraId="423D5E5C">
      <w:pPr>
        <w:pStyle w:val="8"/>
        <w:spacing w:line="360" w:lineRule="auto"/>
        <w:ind w:firstLine="488" w:firstLineChars="200"/>
        <w:jc w:val="left"/>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②能提供最佳的售后服务；</w:t>
      </w:r>
    </w:p>
    <w:p w14:paraId="7CDA154E">
      <w:pPr>
        <w:pStyle w:val="8"/>
        <w:spacing w:line="360" w:lineRule="auto"/>
        <w:ind w:firstLine="488" w:firstLineChars="200"/>
        <w:jc w:val="left"/>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③具有良好执行合同的能力，有良好的信誉；</w:t>
      </w:r>
    </w:p>
    <w:p w14:paraId="3C0EC03A">
      <w:pPr>
        <w:pStyle w:val="8"/>
        <w:spacing w:line="360" w:lineRule="auto"/>
        <w:ind w:firstLine="488" w:firstLineChars="200"/>
        <w:jc w:val="left"/>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④具有良好的业绩；</w:t>
      </w:r>
    </w:p>
    <w:p w14:paraId="045BDC0A">
      <w:pPr>
        <w:pStyle w:val="8"/>
        <w:spacing w:line="360" w:lineRule="auto"/>
        <w:ind w:firstLine="488" w:firstLineChars="200"/>
        <w:jc w:val="left"/>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⑤投标报价合理。能最大限度满足采购文件的实质性要求和采购文件中规定的各项综合评价标准，即综合优势明显的投标人有可能中标。但不保证最低投标报价者中标。</w:t>
      </w:r>
    </w:p>
    <w:p w14:paraId="78C48904">
      <w:pPr>
        <w:pStyle w:val="8"/>
        <w:spacing w:line="360" w:lineRule="auto"/>
        <w:ind w:firstLine="488" w:firstLineChars="200"/>
        <w:jc w:val="left"/>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5.8 保密</w:t>
      </w:r>
    </w:p>
    <w:p w14:paraId="4947B673">
      <w:pPr>
        <w:pStyle w:val="8"/>
        <w:spacing w:line="360" w:lineRule="auto"/>
        <w:ind w:firstLine="488" w:firstLineChars="200"/>
        <w:jc w:val="left"/>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5.8.1 有关投标文件的审查、澄清、评价和比较以及有关授予合同的一切情况等，都不得向投标人或与评标工作无关的人员透露。</w:t>
      </w:r>
    </w:p>
    <w:p w14:paraId="4725B7A5">
      <w:pPr>
        <w:pStyle w:val="8"/>
        <w:spacing w:line="360" w:lineRule="auto"/>
        <w:ind w:firstLine="488" w:firstLineChars="200"/>
        <w:jc w:val="left"/>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5.8.2 投标人不得以任何行为影响评标过程，否则投标将被拒绝。</w:t>
      </w:r>
    </w:p>
    <w:p w14:paraId="00FE6780">
      <w:pPr>
        <w:pStyle w:val="8"/>
        <w:spacing w:line="360" w:lineRule="auto"/>
        <w:ind w:firstLine="568" w:firstLineChars="200"/>
        <w:jc w:val="center"/>
        <w:rPr>
          <w:rFonts w:hint="eastAsia" w:asciiTheme="majorEastAsia" w:hAnsiTheme="majorEastAsia" w:eastAsiaTheme="majorEastAsia" w:cstheme="majorEastAsia"/>
          <w:b/>
          <w:color w:val="auto"/>
          <w:sz w:val="28"/>
          <w:highlight w:val="none"/>
        </w:rPr>
      </w:pPr>
    </w:p>
    <w:p w14:paraId="237FE886">
      <w:pPr>
        <w:pStyle w:val="8"/>
        <w:spacing w:line="360" w:lineRule="auto"/>
        <w:ind w:firstLine="568" w:firstLineChars="200"/>
        <w:jc w:val="center"/>
        <w:rPr>
          <w:rFonts w:hint="eastAsia" w:asciiTheme="majorEastAsia" w:hAnsiTheme="majorEastAsia" w:eastAsiaTheme="majorEastAsia" w:cstheme="majorEastAsia"/>
          <w:b/>
          <w:color w:val="auto"/>
          <w:sz w:val="28"/>
          <w:highlight w:val="none"/>
        </w:rPr>
      </w:pPr>
    </w:p>
    <w:p w14:paraId="0B4341AB">
      <w:pPr>
        <w:pStyle w:val="8"/>
        <w:spacing w:line="360" w:lineRule="auto"/>
        <w:ind w:firstLine="568" w:firstLineChars="200"/>
        <w:jc w:val="center"/>
        <w:rPr>
          <w:rFonts w:hint="eastAsia" w:asciiTheme="majorEastAsia" w:hAnsiTheme="majorEastAsia" w:eastAsiaTheme="majorEastAsia" w:cstheme="majorEastAsia"/>
          <w:b/>
          <w:color w:val="auto"/>
          <w:sz w:val="28"/>
          <w:highlight w:val="none"/>
        </w:rPr>
      </w:pPr>
    </w:p>
    <w:p w14:paraId="1677650F">
      <w:pPr>
        <w:pStyle w:val="8"/>
        <w:spacing w:line="360" w:lineRule="auto"/>
        <w:ind w:firstLine="568" w:firstLineChars="200"/>
        <w:jc w:val="center"/>
        <w:rPr>
          <w:rFonts w:hint="eastAsia" w:asciiTheme="majorEastAsia" w:hAnsiTheme="majorEastAsia" w:eastAsiaTheme="majorEastAsia" w:cstheme="majorEastAsia"/>
          <w:b/>
          <w:color w:val="auto"/>
          <w:sz w:val="28"/>
          <w:highlight w:val="none"/>
        </w:rPr>
      </w:pPr>
    </w:p>
    <w:p w14:paraId="37E65E5E">
      <w:pPr>
        <w:pStyle w:val="8"/>
        <w:spacing w:line="360" w:lineRule="auto"/>
        <w:ind w:firstLine="568" w:firstLineChars="200"/>
        <w:jc w:val="center"/>
        <w:rPr>
          <w:rFonts w:hint="eastAsia" w:asciiTheme="majorEastAsia" w:hAnsiTheme="majorEastAsia" w:eastAsiaTheme="majorEastAsia" w:cstheme="majorEastAsia"/>
          <w:b/>
          <w:color w:val="auto"/>
          <w:sz w:val="28"/>
          <w:highlight w:val="none"/>
        </w:rPr>
      </w:pPr>
    </w:p>
    <w:p w14:paraId="0176C389">
      <w:pPr>
        <w:pStyle w:val="8"/>
        <w:spacing w:line="360" w:lineRule="auto"/>
        <w:ind w:firstLine="568" w:firstLineChars="200"/>
        <w:jc w:val="center"/>
        <w:rPr>
          <w:rFonts w:hint="eastAsia" w:asciiTheme="majorEastAsia" w:hAnsiTheme="majorEastAsia" w:eastAsiaTheme="majorEastAsia" w:cstheme="majorEastAsia"/>
          <w:b/>
          <w:color w:val="auto"/>
          <w:sz w:val="28"/>
          <w:highlight w:val="none"/>
        </w:rPr>
      </w:pPr>
    </w:p>
    <w:p w14:paraId="557BB40A">
      <w:pPr>
        <w:pStyle w:val="8"/>
        <w:spacing w:line="360" w:lineRule="auto"/>
        <w:ind w:firstLine="568" w:firstLineChars="200"/>
        <w:jc w:val="center"/>
        <w:rPr>
          <w:rFonts w:hint="eastAsia" w:asciiTheme="majorEastAsia" w:hAnsiTheme="majorEastAsia" w:eastAsiaTheme="majorEastAsia" w:cstheme="majorEastAsia"/>
          <w:b/>
          <w:color w:val="auto"/>
          <w:sz w:val="28"/>
          <w:highlight w:val="none"/>
        </w:rPr>
      </w:pPr>
    </w:p>
    <w:p w14:paraId="37A55A58">
      <w:pPr>
        <w:pStyle w:val="8"/>
        <w:spacing w:line="360" w:lineRule="auto"/>
        <w:ind w:firstLine="568" w:firstLineChars="200"/>
        <w:jc w:val="center"/>
        <w:rPr>
          <w:rFonts w:hint="eastAsia" w:asciiTheme="majorEastAsia" w:hAnsiTheme="majorEastAsia" w:eastAsiaTheme="majorEastAsia" w:cstheme="majorEastAsia"/>
          <w:b/>
          <w:color w:val="auto"/>
          <w:sz w:val="28"/>
          <w:highlight w:val="none"/>
        </w:rPr>
      </w:pPr>
    </w:p>
    <w:p w14:paraId="513CB7B0">
      <w:pPr>
        <w:pStyle w:val="8"/>
        <w:spacing w:line="360" w:lineRule="auto"/>
        <w:ind w:firstLine="568" w:firstLineChars="200"/>
        <w:jc w:val="center"/>
        <w:rPr>
          <w:rFonts w:hint="eastAsia" w:asciiTheme="majorEastAsia" w:hAnsiTheme="majorEastAsia" w:eastAsiaTheme="majorEastAsia" w:cstheme="majorEastAsia"/>
          <w:b/>
          <w:color w:val="auto"/>
          <w:sz w:val="28"/>
          <w:highlight w:val="none"/>
        </w:rPr>
      </w:pPr>
    </w:p>
    <w:p w14:paraId="45662385">
      <w:pPr>
        <w:pStyle w:val="8"/>
        <w:spacing w:line="360" w:lineRule="auto"/>
        <w:ind w:firstLine="568" w:firstLineChars="200"/>
        <w:jc w:val="center"/>
        <w:rPr>
          <w:rFonts w:hint="eastAsia" w:asciiTheme="majorEastAsia" w:hAnsiTheme="majorEastAsia" w:eastAsiaTheme="majorEastAsia" w:cstheme="majorEastAsia"/>
          <w:b/>
          <w:color w:val="auto"/>
          <w:sz w:val="28"/>
          <w:highlight w:val="none"/>
        </w:rPr>
      </w:pPr>
    </w:p>
    <w:p w14:paraId="56DDD932">
      <w:pPr>
        <w:pStyle w:val="8"/>
        <w:spacing w:line="360" w:lineRule="auto"/>
        <w:ind w:firstLine="568" w:firstLineChars="200"/>
        <w:jc w:val="center"/>
        <w:rPr>
          <w:rFonts w:hint="eastAsia" w:asciiTheme="majorEastAsia" w:hAnsiTheme="majorEastAsia" w:eastAsiaTheme="majorEastAsia" w:cstheme="majorEastAsia"/>
          <w:b/>
          <w:color w:val="auto"/>
          <w:sz w:val="28"/>
          <w:highlight w:val="none"/>
        </w:rPr>
      </w:pPr>
    </w:p>
    <w:p w14:paraId="7DDD28A0">
      <w:pPr>
        <w:pStyle w:val="8"/>
        <w:spacing w:line="360" w:lineRule="auto"/>
        <w:ind w:firstLine="568" w:firstLineChars="200"/>
        <w:jc w:val="center"/>
        <w:rPr>
          <w:rFonts w:hint="eastAsia" w:asciiTheme="majorEastAsia" w:hAnsiTheme="majorEastAsia" w:eastAsiaTheme="majorEastAsia" w:cstheme="majorEastAsia"/>
          <w:b/>
          <w:color w:val="auto"/>
          <w:sz w:val="28"/>
          <w:highlight w:val="none"/>
        </w:rPr>
      </w:pPr>
    </w:p>
    <w:p w14:paraId="00F95384">
      <w:pPr>
        <w:pStyle w:val="8"/>
        <w:spacing w:line="360" w:lineRule="auto"/>
        <w:ind w:firstLine="568" w:firstLineChars="200"/>
        <w:jc w:val="center"/>
        <w:rPr>
          <w:rFonts w:hint="eastAsia" w:asciiTheme="majorEastAsia" w:hAnsiTheme="majorEastAsia" w:eastAsiaTheme="majorEastAsia" w:cstheme="majorEastAsia"/>
          <w:b/>
          <w:color w:val="auto"/>
          <w:sz w:val="28"/>
          <w:highlight w:val="none"/>
        </w:rPr>
      </w:pPr>
    </w:p>
    <w:p w14:paraId="544AA1AA">
      <w:pPr>
        <w:pStyle w:val="8"/>
        <w:spacing w:line="360" w:lineRule="auto"/>
        <w:ind w:firstLine="568" w:firstLineChars="200"/>
        <w:jc w:val="center"/>
        <w:rPr>
          <w:rFonts w:hint="eastAsia" w:asciiTheme="majorEastAsia" w:hAnsiTheme="majorEastAsia" w:eastAsiaTheme="majorEastAsia" w:cstheme="majorEastAsia"/>
          <w:b/>
          <w:color w:val="auto"/>
          <w:sz w:val="28"/>
          <w:highlight w:val="none"/>
        </w:rPr>
      </w:pPr>
    </w:p>
    <w:p w14:paraId="19BEDC88">
      <w:pPr>
        <w:pStyle w:val="8"/>
        <w:spacing w:line="360" w:lineRule="auto"/>
        <w:ind w:firstLine="568" w:firstLineChars="200"/>
        <w:jc w:val="center"/>
        <w:rPr>
          <w:rFonts w:hint="eastAsia" w:asciiTheme="majorEastAsia" w:hAnsiTheme="majorEastAsia" w:eastAsiaTheme="majorEastAsia" w:cstheme="majorEastAsia"/>
          <w:b/>
          <w:color w:val="auto"/>
          <w:sz w:val="28"/>
          <w:highlight w:val="none"/>
        </w:rPr>
      </w:pPr>
    </w:p>
    <w:p w14:paraId="4ECF0013">
      <w:pPr>
        <w:pStyle w:val="8"/>
        <w:spacing w:line="360" w:lineRule="auto"/>
        <w:ind w:firstLine="568" w:firstLineChars="200"/>
        <w:jc w:val="center"/>
        <w:rPr>
          <w:rFonts w:hint="eastAsia" w:asciiTheme="majorEastAsia" w:hAnsiTheme="majorEastAsia" w:eastAsiaTheme="majorEastAsia" w:cstheme="majorEastAsia"/>
          <w:b/>
          <w:color w:val="auto"/>
          <w:sz w:val="28"/>
          <w:highlight w:val="none"/>
        </w:rPr>
      </w:pPr>
    </w:p>
    <w:p w14:paraId="117A0448">
      <w:pPr>
        <w:pStyle w:val="8"/>
        <w:spacing w:line="360" w:lineRule="auto"/>
        <w:ind w:firstLine="568" w:firstLineChars="200"/>
        <w:jc w:val="center"/>
        <w:rPr>
          <w:rFonts w:asciiTheme="majorEastAsia" w:hAnsiTheme="majorEastAsia" w:eastAsiaTheme="majorEastAsia" w:cstheme="majorEastAsia"/>
          <w:b/>
          <w:color w:val="auto"/>
          <w:sz w:val="28"/>
          <w:highlight w:val="none"/>
        </w:rPr>
      </w:pPr>
      <w:r>
        <w:rPr>
          <w:rFonts w:hint="eastAsia" w:asciiTheme="majorEastAsia" w:hAnsiTheme="majorEastAsia" w:eastAsiaTheme="majorEastAsia" w:cstheme="majorEastAsia"/>
          <w:b/>
          <w:color w:val="auto"/>
          <w:sz w:val="28"/>
          <w:highlight w:val="none"/>
        </w:rPr>
        <w:t>六、评标纪律、原则</w:t>
      </w:r>
    </w:p>
    <w:p w14:paraId="2E646C6D">
      <w:pPr>
        <w:pStyle w:val="8"/>
        <w:spacing w:line="360" w:lineRule="auto"/>
        <w:ind w:firstLine="488" w:firstLineChars="200"/>
        <w:jc w:val="left"/>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6.1 评标工作应严格遵守《中华人民共和国政府采购法》及有关政策、法令，保护采购人、投标供应商的合法权益，做到公正、公开、公平，遵循竞争、择优的原则。</w:t>
      </w:r>
    </w:p>
    <w:p w14:paraId="451392AA">
      <w:pPr>
        <w:pStyle w:val="8"/>
        <w:spacing w:line="360" w:lineRule="auto"/>
        <w:ind w:firstLine="488" w:firstLineChars="200"/>
        <w:jc w:val="left"/>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6.2 评标工作由采购代理机构组织的评标委员会（以下简称评委会）进行，评委会由专家和采购人的代表组成。</w:t>
      </w:r>
    </w:p>
    <w:p w14:paraId="115BBB42">
      <w:pPr>
        <w:pStyle w:val="8"/>
        <w:spacing w:line="360" w:lineRule="auto"/>
        <w:ind w:firstLine="488" w:firstLineChars="200"/>
        <w:jc w:val="left"/>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6.3 评委及有关人员应严格遵循国家的有关法律、法令、公正廉洁，不徇私情，应当客观、公正地履行职务、遵守职业道德，不得有损害国家和企业利益的行为，如有发生，将追究法律责任。</w:t>
      </w:r>
    </w:p>
    <w:p w14:paraId="19589DF0">
      <w:pPr>
        <w:pStyle w:val="8"/>
        <w:spacing w:line="360" w:lineRule="auto"/>
        <w:ind w:firstLine="488" w:firstLineChars="200"/>
        <w:jc w:val="left"/>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6.4 评标工作接受</w:t>
      </w:r>
      <w:r>
        <w:rPr>
          <w:rFonts w:hint="eastAsia" w:asciiTheme="majorEastAsia" w:hAnsiTheme="majorEastAsia" w:eastAsiaTheme="majorEastAsia" w:cstheme="majorEastAsia"/>
          <w:color w:val="auto"/>
          <w:sz w:val="24"/>
          <w:highlight w:val="none"/>
          <w:lang w:val="en-US" w:eastAsia="zh-CN"/>
        </w:rPr>
        <w:t>县财政局</w:t>
      </w:r>
      <w:r>
        <w:rPr>
          <w:rFonts w:hint="eastAsia" w:asciiTheme="majorEastAsia" w:hAnsiTheme="majorEastAsia" w:eastAsiaTheme="majorEastAsia" w:cstheme="majorEastAsia"/>
          <w:color w:val="auto"/>
          <w:sz w:val="24"/>
          <w:highlight w:val="none"/>
        </w:rPr>
        <w:t>、</w:t>
      </w:r>
      <w:r>
        <w:rPr>
          <w:rFonts w:hint="eastAsia" w:asciiTheme="majorEastAsia" w:hAnsiTheme="majorEastAsia" w:eastAsiaTheme="majorEastAsia" w:cstheme="majorEastAsia"/>
          <w:color w:val="auto"/>
          <w:sz w:val="24"/>
          <w:highlight w:val="none"/>
          <w:lang w:val="en-US" w:eastAsia="zh-CN"/>
        </w:rPr>
        <w:t>县农业农村局、</w:t>
      </w:r>
      <w:r>
        <w:rPr>
          <w:rFonts w:hint="eastAsia" w:asciiTheme="majorEastAsia" w:hAnsiTheme="majorEastAsia" w:eastAsiaTheme="majorEastAsia" w:cstheme="majorEastAsia"/>
          <w:color w:val="auto"/>
          <w:sz w:val="24"/>
          <w:highlight w:val="none"/>
        </w:rPr>
        <w:t>采购人的管理和监督。</w:t>
      </w:r>
    </w:p>
    <w:p w14:paraId="588E5AD4">
      <w:pPr>
        <w:pStyle w:val="8"/>
        <w:spacing w:line="360" w:lineRule="auto"/>
        <w:ind w:firstLine="488" w:firstLineChars="200"/>
        <w:jc w:val="left"/>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6.5 评标期间，评委和有关工作人员必须严格遵守招标工作纪律和保密的规定，不得以任何形式，将评标情况和投标情况透露给与投标有关的单位和个人；如有违反，将按照有关法律、法规的规定进行处理。</w:t>
      </w:r>
    </w:p>
    <w:p w14:paraId="5D3CCFB0">
      <w:pPr>
        <w:pStyle w:val="8"/>
        <w:spacing w:line="360" w:lineRule="auto"/>
        <w:ind w:firstLine="488" w:firstLineChars="200"/>
        <w:jc w:val="left"/>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6.6 从开标之日起，至《中标通知书》发出之日止，任何投标供应商不得与评委、采购人及有关工作人员私下接触或联系。投标供应商企图影响评标的任何活动或采用不正当手段骗取中标的，中标无效，并将依照《中华人民共和国政府采购法》及有关法规进行处理。</w:t>
      </w:r>
    </w:p>
    <w:p w14:paraId="584B8AB7">
      <w:pPr>
        <w:pStyle w:val="8"/>
        <w:spacing w:line="360" w:lineRule="auto"/>
        <w:ind w:firstLine="488" w:firstLineChars="200"/>
        <w:jc w:val="left"/>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6.7 评标的依据是采购文件的规定和要求，以及投标文件和评委会审核的投标文件的补充资料，而不是其他任何资料。</w:t>
      </w:r>
    </w:p>
    <w:p w14:paraId="6BD02307">
      <w:pPr>
        <w:pStyle w:val="8"/>
        <w:spacing w:line="360" w:lineRule="auto"/>
        <w:ind w:firstLine="488" w:firstLineChars="200"/>
        <w:jc w:val="left"/>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6.8 评委会有权要求投标供应商对投标文件中不明确的地方作出解释和澄清，并用书面方式予以确认。澄清后满足要求的，按有效标接收。但不允许对技术、商务、价格等实质性内容进行修改。</w:t>
      </w:r>
    </w:p>
    <w:p w14:paraId="46829CD8">
      <w:pPr>
        <w:pStyle w:val="8"/>
        <w:spacing w:line="360" w:lineRule="auto"/>
        <w:ind w:firstLine="488" w:firstLineChars="200"/>
        <w:jc w:val="left"/>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6.9 评标委员会按照《中华人民共和国政府采购法》及相关规定，依据采购文件的规定和要求，就投标文件提供的资格、资质、资信证明文件，以及有关资料，对投标供应商的资格进行确认后，并按照采购文件中规定的评标办法进行评议。</w:t>
      </w:r>
    </w:p>
    <w:p w14:paraId="6E12D43E">
      <w:pPr>
        <w:pStyle w:val="8"/>
        <w:spacing w:line="360" w:lineRule="auto"/>
        <w:ind w:firstLine="488" w:firstLineChars="200"/>
        <w:jc w:val="left"/>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6.10 评委对评标结果共同负责，并在《评标报告》上签名确认。</w:t>
      </w:r>
    </w:p>
    <w:p w14:paraId="683A5A6D">
      <w:pPr>
        <w:pStyle w:val="8"/>
        <w:spacing w:line="360" w:lineRule="auto"/>
        <w:jc w:val="left"/>
        <w:rPr>
          <w:rFonts w:asciiTheme="majorEastAsia" w:hAnsiTheme="majorEastAsia" w:eastAsiaTheme="majorEastAsia" w:cstheme="majorEastAsia"/>
          <w:color w:val="auto"/>
          <w:sz w:val="24"/>
          <w:highlight w:val="none"/>
        </w:rPr>
      </w:pPr>
    </w:p>
    <w:p w14:paraId="084B33D9">
      <w:pPr>
        <w:pStyle w:val="8"/>
        <w:spacing w:line="360" w:lineRule="auto"/>
        <w:ind w:firstLine="568" w:firstLineChars="200"/>
        <w:jc w:val="center"/>
        <w:rPr>
          <w:rFonts w:asciiTheme="majorEastAsia" w:hAnsiTheme="majorEastAsia" w:eastAsiaTheme="majorEastAsia" w:cstheme="majorEastAsia"/>
          <w:b/>
          <w:color w:val="auto"/>
          <w:sz w:val="28"/>
          <w:highlight w:val="none"/>
        </w:rPr>
      </w:pPr>
      <w:r>
        <w:rPr>
          <w:rFonts w:hint="eastAsia" w:asciiTheme="majorEastAsia" w:hAnsiTheme="majorEastAsia" w:eastAsiaTheme="majorEastAsia" w:cstheme="majorEastAsia"/>
          <w:b/>
          <w:color w:val="auto"/>
          <w:sz w:val="28"/>
          <w:highlight w:val="none"/>
        </w:rPr>
        <w:t>七、合同的授予</w:t>
      </w:r>
    </w:p>
    <w:p w14:paraId="2438C8CC">
      <w:pPr>
        <w:pStyle w:val="8"/>
        <w:spacing w:line="360" w:lineRule="auto"/>
        <w:ind w:firstLine="488" w:firstLineChars="200"/>
        <w:jc w:val="left"/>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7.1 中标结果公示</w:t>
      </w:r>
    </w:p>
    <w:p w14:paraId="1A9833B2">
      <w:pPr>
        <w:pStyle w:val="8"/>
        <w:spacing w:line="360" w:lineRule="auto"/>
        <w:ind w:firstLine="488" w:firstLineChars="200"/>
        <w:jc w:val="left"/>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7.1.1 采购代理机构在采购公告发布的媒体上发布中标公告。</w:t>
      </w:r>
    </w:p>
    <w:p w14:paraId="7E330435">
      <w:pPr>
        <w:pStyle w:val="8"/>
        <w:spacing w:line="360" w:lineRule="auto"/>
        <w:ind w:firstLine="488" w:firstLineChars="200"/>
        <w:jc w:val="left"/>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7.1.2 对本项目中标结果存在质疑的投标供应商，可以采用书面原件形式列举具体理由，同时提交有效证据向采购代理机构提出质疑。</w:t>
      </w:r>
    </w:p>
    <w:p w14:paraId="65A4F72F">
      <w:pPr>
        <w:pStyle w:val="8"/>
        <w:spacing w:line="360" w:lineRule="auto"/>
        <w:ind w:firstLine="488" w:firstLineChars="200"/>
        <w:jc w:val="left"/>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7.1.3 投标供应商行使质疑权时，须坚持“谁质疑谁举证”，遵守“实事求是”和“谨慎性”原则，承担使用虚假材料或恶意方式质疑的法律责任，采购人将遵循“谁过错谁负担”的原则，在过错方缴纳相关调查论证费用后，再予以退还投标保证金。</w:t>
      </w:r>
    </w:p>
    <w:p w14:paraId="563D631F">
      <w:pPr>
        <w:pStyle w:val="8"/>
        <w:spacing w:line="360" w:lineRule="auto"/>
        <w:ind w:firstLine="488" w:firstLineChars="200"/>
        <w:jc w:val="left"/>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7.1.4 无论是质疑或被质疑，投标供应商均须主动配合采购代理机构或采购人寻找相关证据，并承诺同意延长投标保证金及投标样品（若有）的退还时间。对于采购代理机构要求补充的证据材料，投标供应商不能无故推脱或者不予配合，否则，采购代理机构有权不退还其投标保证金。</w:t>
      </w:r>
    </w:p>
    <w:p w14:paraId="4E0A7EEC">
      <w:pPr>
        <w:pStyle w:val="8"/>
        <w:spacing w:line="360" w:lineRule="auto"/>
        <w:ind w:firstLine="488" w:firstLineChars="200"/>
        <w:jc w:val="left"/>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7.2 追加招标货物数量的权力</w:t>
      </w:r>
    </w:p>
    <w:p w14:paraId="2F4D89D6">
      <w:pPr>
        <w:pStyle w:val="8"/>
        <w:spacing w:line="360" w:lineRule="auto"/>
        <w:ind w:firstLine="488" w:firstLineChars="200"/>
        <w:jc w:val="left"/>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7.2.1 政府采购合同履行中，采购人需追加与合同标的相同的货物、工程或者服务的，在不改变合同其他条款的前提下，可以与投标供应商协商签订补充合同，但所有补充合同的采购金额不得超过原合同采购金额的百分之十。</w:t>
      </w:r>
    </w:p>
    <w:p w14:paraId="79A63750">
      <w:pPr>
        <w:pStyle w:val="8"/>
        <w:spacing w:line="360" w:lineRule="auto"/>
        <w:ind w:firstLine="488" w:firstLineChars="200"/>
        <w:jc w:val="left"/>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7.3 中标通知书</w:t>
      </w:r>
    </w:p>
    <w:p w14:paraId="727E110C">
      <w:pPr>
        <w:pStyle w:val="8"/>
        <w:spacing w:line="360" w:lineRule="auto"/>
        <w:ind w:firstLine="488" w:firstLineChars="200"/>
        <w:jc w:val="left"/>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7.3.1 中标人确定后，采购代理机构将向中标人发出中标通知书。</w:t>
      </w:r>
    </w:p>
    <w:p w14:paraId="4B53FF1A">
      <w:pPr>
        <w:pStyle w:val="8"/>
        <w:spacing w:line="360" w:lineRule="auto"/>
        <w:ind w:firstLine="488" w:firstLineChars="200"/>
        <w:jc w:val="left"/>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7.3.2 中标人须在中标后五个工作日内到采购代理机构领取中标通知书原件，逾期将视为自动放弃中标资格。因中标人不领取中标通知书对采购人项目造成影响的，将不退还其投标保证金。</w:t>
      </w:r>
    </w:p>
    <w:p w14:paraId="289B4E7F">
      <w:pPr>
        <w:pStyle w:val="8"/>
        <w:spacing w:line="360" w:lineRule="auto"/>
        <w:ind w:firstLine="488" w:firstLineChars="200"/>
        <w:jc w:val="left"/>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7.3.3 中标通知书是采购合同的一个组成部分。</w:t>
      </w:r>
    </w:p>
    <w:p w14:paraId="2B1B639E">
      <w:pPr>
        <w:pStyle w:val="8"/>
        <w:spacing w:line="360" w:lineRule="auto"/>
        <w:ind w:firstLine="488" w:firstLineChars="200"/>
        <w:jc w:val="left"/>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7.3.4 在中标人缴纳了招标代理服务费后，采购代理机构将按照本须知第 3.7 条的规定退还所有投标保证金。</w:t>
      </w:r>
    </w:p>
    <w:p w14:paraId="03D80984">
      <w:pPr>
        <w:pStyle w:val="8"/>
        <w:spacing w:line="360" w:lineRule="auto"/>
        <w:ind w:firstLine="488" w:firstLineChars="200"/>
        <w:jc w:val="left"/>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7.3.5 在合同未履行前，出现影响中标结果的情况，对于中标人经济损失，采购代理机构和采购单位无需承担赔偿责任。</w:t>
      </w:r>
    </w:p>
    <w:p w14:paraId="10961F57">
      <w:pPr>
        <w:pStyle w:val="8"/>
        <w:spacing w:line="360" w:lineRule="auto"/>
        <w:ind w:firstLine="488" w:firstLineChars="200"/>
        <w:jc w:val="left"/>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7.3.6 采购代理机构无义务向未中标投标供应商解释落标原因和退回投标文件。</w:t>
      </w:r>
    </w:p>
    <w:p w14:paraId="5755C708">
      <w:pPr>
        <w:pStyle w:val="8"/>
        <w:spacing w:line="360" w:lineRule="auto"/>
        <w:ind w:firstLine="488" w:firstLineChars="200"/>
        <w:jc w:val="left"/>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7.4 签订合同</w:t>
      </w:r>
    </w:p>
    <w:p w14:paraId="4D687FB0">
      <w:pPr>
        <w:pStyle w:val="8"/>
        <w:spacing w:line="360" w:lineRule="auto"/>
        <w:ind w:firstLine="488" w:firstLineChars="200"/>
        <w:jc w:val="left"/>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7.4.1 中标人在收到中标通知书 5 天内，应按照合同条款的规定，并以《中标通知书》指定的时间、地点与采购单位签订合同。</w:t>
      </w:r>
    </w:p>
    <w:p w14:paraId="189DEE16">
      <w:pPr>
        <w:pStyle w:val="8"/>
        <w:spacing w:line="360" w:lineRule="auto"/>
        <w:ind w:firstLine="488" w:firstLineChars="200"/>
        <w:jc w:val="left"/>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7.4.2 “采购文件”、采购文件的澄清、中标人的“投标文件”、中标人的澄清文件及“中标通知书”等，均为签订经济合同的依据。</w:t>
      </w:r>
    </w:p>
    <w:p w14:paraId="09D2EE19">
      <w:pPr>
        <w:pStyle w:val="8"/>
        <w:spacing w:line="360" w:lineRule="auto"/>
        <w:ind w:firstLine="488" w:firstLineChars="200"/>
        <w:jc w:val="left"/>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7.4.3 中标人在中标通知书发出之日起三十日历日内未能按采购文件要求与采购单位签订政府采购合同，逾期将视为自动放弃中标资格，招标人将顺延下一中标候选人为中标人，依次类推。</w:t>
      </w:r>
    </w:p>
    <w:p w14:paraId="7AB576EF">
      <w:pPr>
        <w:pStyle w:val="8"/>
        <w:spacing w:line="360" w:lineRule="auto"/>
        <w:jc w:val="left"/>
        <w:rPr>
          <w:rFonts w:asciiTheme="majorEastAsia" w:hAnsiTheme="majorEastAsia" w:eastAsiaTheme="majorEastAsia" w:cstheme="majorEastAsia"/>
          <w:color w:val="auto"/>
          <w:sz w:val="24"/>
          <w:highlight w:val="none"/>
        </w:rPr>
      </w:pPr>
    </w:p>
    <w:p w14:paraId="7FAD2585">
      <w:pPr>
        <w:pStyle w:val="8"/>
        <w:spacing w:line="360" w:lineRule="auto"/>
        <w:jc w:val="left"/>
        <w:rPr>
          <w:rFonts w:asciiTheme="majorEastAsia" w:hAnsiTheme="majorEastAsia" w:eastAsiaTheme="majorEastAsia" w:cstheme="majorEastAsia"/>
          <w:color w:val="auto"/>
          <w:sz w:val="24"/>
          <w:highlight w:val="none"/>
        </w:rPr>
      </w:pPr>
    </w:p>
    <w:p w14:paraId="418B1A08">
      <w:pPr>
        <w:pStyle w:val="8"/>
        <w:spacing w:line="360" w:lineRule="auto"/>
        <w:jc w:val="left"/>
        <w:rPr>
          <w:rFonts w:asciiTheme="majorEastAsia" w:hAnsiTheme="majorEastAsia" w:eastAsiaTheme="majorEastAsia" w:cstheme="majorEastAsia"/>
          <w:color w:val="auto"/>
          <w:sz w:val="24"/>
          <w:highlight w:val="none"/>
        </w:rPr>
      </w:pPr>
    </w:p>
    <w:p w14:paraId="29EC8F58">
      <w:pPr>
        <w:pStyle w:val="8"/>
        <w:spacing w:line="360" w:lineRule="auto"/>
        <w:jc w:val="left"/>
        <w:rPr>
          <w:rFonts w:asciiTheme="majorEastAsia" w:hAnsiTheme="majorEastAsia" w:eastAsiaTheme="majorEastAsia" w:cstheme="majorEastAsia"/>
          <w:color w:val="auto"/>
          <w:sz w:val="24"/>
          <w:highlight w:val="none"/>
        </w:rPr>
      </w:pPr>
    </w:p>
    <w:p w14:paraId="201DC9FA">
      <w:pPr>
        <w:pStyle w:val="8"/>
        <w:spacing w:line="360" w:lineRule="auto"/>
        <w:jc w:val="left"/>
        <w:rPr>
          <w:rFonts w:asciiTheme="majorEastAsia" w:hAnsiTheme="majorEastAsia" w:eastAsiaTheme="majorEastAsia" w:cstheme="majorEastAsia"/>
          <w:color w:val="auto"/>
          <w:sz w:val="24"/>
          <w:highlight w:val="none"/>
        </w:rPr>
      </w:pPr>
    </w:p>
    <w:p w14:paraId="0587AF41">
      <w:pPr>
        <w:pStyle w:val="8"/>
        <w:spacing w:line="360" w:lineRule="auto"/>
        <w:jc w:val="left"/>
        <w:rPr>
          <w:rFonts w:asciiTheme="majorEastAsia" w:hAnsiTheme="majorEastAsia" w:eastAsiaTheme="majorEastAsia" w:cstheme="majorEastAsia"/>
          <w:color w:val="auto"/>
          <w:sz w:val="24"/>
          <w:highlight w:val="none"/>
        </w:rPr>
      </w:pPr>
    </w:p>
    <w:p w14:paraId="354FD78E">
      <w:pPr>
        <w:pStyle w:val="8"/>
        <w:spacing w:line="360" w:lineRule="auto"/>
        <w:jc w:val="left"/>
        <w:rPr>
          <w:rFonts w:asciiTheme="majorEastAsia" w:hAnsiTheme="majorEastAsia" w:eastAsiaTheme="majorEastAsia" w:cstheme="majorEastAsia"/>
          <w:color w:val="auto"/>
          <w:sz w:val="24"/>
          <w:highlight w:val="none"/>
        </w:rPr>
      </w:pPr>
    </w:p>
    <w:p w14:paraId="701C4D28">
      <w:pPr>
        <w:pStyle w:val="8"/>
        <w:spacing w:line="360" w:lineRule="auto"/>
        <w:jc w:val="left"/>
        <w:rPr>
          <w:rFonts w:asciiTheme="majorEastAsia" w:hAnsiTheme="majorEastAsia" w:eastAsiaTheme="majorEastAsia" w:cstheme="majorEastAsia"/>
          <w:color w:val="auto"/>
          <w:sz w:val="24"/>
          <w:highlight w:val="none"/>
        </w:rPr>
      </w:pPr>
    </w:p>
    <w:p w14:paraId="1DEB6190">
      <w:pPr>
        <w:pStyle w:val="8"/>
        <w:spacing w:line="360" w:lineRule="auto"/>
        <w:jc w:val="left"/>
        <w:rPr>
          <w:rFonts w:asciiTheme="majorEastAsia" w:hAnsiTheme="majorEastAsia" w:eastAsiaTheme="majorEastAsia" w:cstheme="majorEastAsia"/>
          <w:color w:val="auto"/>
          <w:sz w:val="24"/>
          <w:highlight w:val="none"/>
        </w:rPr>
      </w:pPr>
    </w:p>
    <w:p w14:paraId="60BD0501">
      <w:pPr>
        <w:pStyle w:val="8"/>
        <w:spacing w:line="360" w:lineRule="auto"/>
        <w:jc w:val="left"/>
        <w:rPr>
          <w:rFonts w:asciiTheme="majorEastAsia" w:hAnsiTheme="majorEastAsia" w:eastAsiaTheme="majorEastAsia" w:cstheme="majorEastAsia"/>
          <w:color w:val="auto"/>
          <w:sz w:val="24"/>
          <w:highlight w:val="none"/>
        </w:rPr>
      </w:pPr>
    </w:p>
    <w:p w14:paraId="505A129B">
      <w:pPr>
        <w:pStyle w:val="8"/>
        <w:spacing w:line="360" w:lineRule="auto"/>
        <w:jc w:val="left"/>
        <w:rPr>
          <w:rFonts w:asciiTheme="majorEastAsia" w:hAnsiTheme="majorEastAsia" w:eastAsiaTheme="majorEastAsia" w:cstheme="majorEastAsia"/>
          <w:color w:val="auto"/>
          <w:sz w:val="24"/>
          <w:highlight w:val="none"/>
        </w:rPr>
      </w:pPr>
    </w:p>
    <w:p w14:paraId="077A29A5">
      <w:pPr>
        <w:pStyle w:val="8"/>
        <w:spacing w:line="360" w:lineRule="auto"/>
        <w:jc w:val="left"/>
        <w:rPr>
          <w:rFonts w:asciiTheme="majorEastAsia" w:hAnsiTheme="majorEastAsia" w:eastAsiaTheme="majorEastAsia" w:cstheme="majorEastAsia"/>
          <w:color w:val="auto"/>
          <w:sz w:val="24"/>
          <w:highlight w:val="none"/>
        </w:rPr>
      </w:pPr>
    </w:p>
    <w:p w14:paraId="25472F69">
      <w:pPr>
        <w:pStyle w:val="8"/>
        <w:spacing w:line="360" w:lineRule="auto"/>
        <w:jc w:val="left"/>
        <w:rPr>
          <w:rFonts w:asciiTheme="majorEastAsia" w:hAnsiTheme="majorEastAsia" w:eastAsiaTheme="majorEastAsia" w:cstheme="majorEastAsia"/>
          <w:color w:val="auto"/>
          <w:sz w:val="24"/>
          <w:highlight w:val="none"/>
        </w:rPr>
      </w:pPr>
    </w:p>
    <w:p w14:paraId="11D204AE">
      <w:pPr>
        <w:pStyle w:val="8"/>
        <w:spacing w:line="360" w:lineRule="auto"/>
        <w:jc w:val="left"/>
        <w:rPr>
          <w:rFonts w:asciiTheme="majorEastAsia" w:hAnsiTheme="majorEastAsia" w:eastAsiaTheme="majorEastAsia" w:cstheme="majorEastAsia"/>
          <w:color w:val="auto"/>
          <w:sz w:val="24"/>
          <w:highlight w:val="none"/>
        </w:rPr>
      </w:pPr>
    </w:p>
    <w:p w14:paraId="1624CCB3">
      <w:pPr>
        <w:pStyle w:val="8"/>
        <w:spacing w:line="360" w:lineRule="auto"/>
        <w:jc w:val="left"/>
        <w:rPr>
          <w:rFonts w:asciiTheme="majorEastAsia" w:hAnsiTheme="majorEastAsia" w:eastAsiaTheme="majorEastAsia" w:cstheme="majorEastAsia"/>
          <w:b/>
          <w:color w:val="auto"/>
          <w:sz w:val="32"/>
          <w:highlight w:val="none"/>
        </w:rPr>
      </w:pPr>
    </w:p>
    <w:p w14:paraId="6D76BD9B">
      <w:pPr>
        <w:pStyle w:val="8"/>
        <w:spacing w:line="360" w:lineRule="auto"/>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b/>
          <w:color w:val="auto"/>
          <w:sz w:val="32"/>
          <w:highlight w:val="none"/>
        </w:rPr>
        <w:t>第四章评标办法</w:t>
      </w:r>
    </w:p>
    <w:p w14:paraId="2BE14420">
      <w:pPr>
        <w:pStyle w:val="8"/>
        <w:spacing w:line="360" w:lineRule="auto"/>
        <w:jc w:val="center"/>
        <w:rPr>
          <w:rFonts w:asciiTheme="majorEastAsia" w:hAnsiTheme="majorEastAsia" w:eastAsiaTheme="majorEastAsia" w:cstheme="majorEastAsia"/>
          <w:b/>
          <w:color w:val="auto"/>
          <w:sz w:val="28"/>
          <w:highlight w:val="none"/>
        </w:rPr>
      </w:pPr>
      <w:r>
        <w:rPr>
          <w:rFonts w:hint="eastAsia" w:asciiTheme="majorEastAsia" w:hAnsiTheme="majorEastAsia" w:eastAsiaTheme="majorEastAsia" w:cstheme="majorEastAsia"/>
          <w:b/>
          <w:color w:val="auto"/>
          <w:sz w:val="28"/>
          <w:highlight w:val="none"/>
        </w:rPr>
        <w:t>评标办法正文</w:t>
      </w:r>
    </w:p>
    <w:p w14:paraId="04296FF2">
      <w:pPr>
        <w:pStyle w:val="8"/>
        <w:spacing w:line="360" w:lineRule="auto"/>
        <w:jc w:val="left"/>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一、投标供应商资格审查</w:t>
      </w:r>
    </w:p>
    <w:p w14:paraId="4307B181">
      <w:pPr>
        <w:pStyle w:val="8"/>
        <w:spacing w:line="360" w:lineRule="auto"/>
        <w:jc w:val="left"/>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根据《政府采购货物和服务招标投标管理办法》（财政部令第 87 号）规定，公开招标采购项目开标结束后，采购人或者采购代理机构应当依法对投标供应商的资格进行审查。合格投标供应商不足 3 家的，不得评标。</w:t>
      </w:r>
    </w:p>
    <w:tbl>
      <w:tblPr>
        <w:tblStyle w:val="21"/>
        <w:tblW w:w="9430"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675"/>
        <w:gridCol w:w="7371"/>
        <w:gridCol w:w="709"/>
        <w:gridCol w:w="675"/>
      </w:tblGrid>
      <w:tr w14:paraId="293352E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Pr>
          <w:p w14:paraId="5486E8AB">
            <w:pPr>
              <w:pStyle w:val="8"/>
              <w:spacing w:line="360" w:lineRule="auto"/>
              <w:jc w:val="left"/>
              <w:rPr>
                <w:rFonts w:asciiTheme="majorEastAsia" w:hAnsiTheme="majorEastAsia" w:eastAsiaTheme="majorEastAsia" w:cstheme="majorEastAsia"/>
                <w:color w:val="auto"/>
                <w:sz w:val="22"/>
                <w:highlight w:val="none"/>
              </w:rPr>
            </w:pPr>
            <w:r>
              <w:rPr>
                <w:rFonts w:hint="eastAsia" w:asciiTheme="majorEastAsia" w:hAnsiTheme="majorEastAsia" w:eastAsiaTheme="majorEastAsia" w:cstheme="majorEastAsia"/>
                <w:color w:val="auto"/>
                <w:sz w:val="22"/>
                <w:highlight w:val="none"/>
              </w:rPr>
              <w:t>序号</w:t>
            </w:r>
          </w:p>
        </w:tc>
        <w:tc>
          <w:tcPr>
            <w:tcW w:w="7371" w:type="dxa"/>
            <w:tcBorders>
              <w:tl2br w:val="single" w:color="auto" w:sz="4" w:space="0"/>
            </w:tcBorders>
          </w:tcPr>
          <w:p w14:paraId="432B0C84">
            <w:pPr>
              <w:pStyle w:val="8"/>
              <w:spacing w:line="360" w:lineRule="auto"/>
              <w:ind w:firstLine="4704" w:firstLineChars="2100"/>
              <w:jc w:val="left"/>
              <w:rPr>
                <w:rFonts w:asciiTheme="majorEastAsia" w:hAnsiTheme="majorEastAsia" w:eastAsiaTheme="majorEastAsia" w:cstheme="majorEastAsia"/>
                <w:color w:val="auto"/>
                <w:sz w:val="22"/>
                <w:highlight w:val="none"/>
              </w:rPr>
            </w:pPr>
            <w:r>
              <w:rPr>
                <w:rFonts w:hint="eastAsia" w:asciiTheme="majorEastAsia" w:hAnsiTheme="majorEastAsia" w:eastAsiaTheme="majorEastAsia" w:cstheme="majorEastAsia"/>
                <w:color w:val="auto"/>
                <w:sz w:val="22"/>
                <w:highlight w:val="none"/>
              </w:rPr>
              <w:t>投标供应商名称</w:t>
            </w:r>
          </w:p>
          <w:p w14:paraId="244051EB">
            <w:pPr>
              <w:pStyle w:val="8"/>
              <w:spacing w:line="360" w:lineRule="auto"/>
              <w:jc w:val="left"/>
              <w:rPr>
                <w:rFonts w:asciiTheme="majorEastAsia" w:hAnsiTheme="majorEastAsia" w:eastAsiaTheme="majorEastAsia" w:cstheme="majorEastAsia"/>
                <w:color w:val="auto"/>
                <w:sz w:val="22"/>
                <w:highlight w:val="none"/>
              </w:rPr>
            </w:pPr>
            <w:r>
              <w:rPr>
                <w:rFonts w:hint="eastAsia" w:asciiTheme="majorEastAsia" w:hAnsiTheme="majorEastAsia" w:eastAsiaTheme="majorEastAsia" w:cstheme="majorEastAsia"/>
                <w:color w:val="auto"/>
                <w:sz w:val="22"/>
                <w:highlight w:val="none"/>
              </w:rPr>
              <w:t>资格审查内容</w:t>
            </w:r>
          </w:p>
        </w:tc>
        <w:tc>
          <w:tcPr>
            <w:tcW w:w="709" w:type="dxa"/>
          </w:tcPr>
          <w:p w14:paraId="387E4FB2">
            <w:pPr>
              <w:pStyle w:val="8"/>
              <w:spacing w:line="360" w:lineRule="auto"/>
              <w:jc w:val="left"/>
              <w:rPr>
                <w:rFonts w:asciiTheme="majorEastAsia" w:hAnsiTheme="majorEastAsia" w:eastAsiaTheme="majorEastAsia" w:cstheme="majorEastAsia"/>
                <w:color w:val="auto"/>
                <w:sz w:val="22"/>
                <w:highlight w:val="none"/>
              </w:rPr>
            </w:pPr>
            <w:r>
              <w:rPr>
                <w:rFonts w:hint="eastAsia" w:asciiTheme="majorEastAsia" w:hAnsiTheme="majorEastAsia" w:eastAsiaTheme="majorEastAsia" w:cstheme="majorEastAsia"/>
                <w:color w:val="auto"/>
                <w:sz w:val="22"/>
                <w:highlight w:val="none"/>
              </w:rPr>
              <w:t>单位1</w:t>
            </w:r>
          </w:p>
        </w:tc>
        <w:tc>
          <w:tcPr>
            <w:tcW w:w="675" w:type="dxa"/>
          </w:tcPr>
          <w:p w14:paraId="2EB63FAC">
            <w:pPr>
              <w:pStyle w:val="8"/>
              <w:spacing w:line="360" w:lineRule="auto"/>
              <w:jc w:val="left"/>
              <w:rPr>
                <w:rFonts w:asciiTheme="majorEastAsia" w:hAnsiTheme="majorEastAsia" w:eastAsiaTheme="majorEastAsia" w:cstheme="majorEastAsia"/>
                <w:color w:val="auto"/>
                <w:sz w:val="22"/>
                <w:highlight w:val="none"/>
              </w:rPr>
            </w:pPr>
            <w:r>
              <w:rPr>
                <w:rFonts w:hint="eastAsia" w:asciiTheme="majorEastAsia" w:hAnsiTheme="majorEastAsia" w:eastAsiaTheme="majorEastAsia" w:cstheme="majorEastAsia"/>
                <w:color w:val="auto"/>
                <w:sz w:val="22"/>
                <w:highlight w:val="none"/>
              </w:rPr>
              <w:t>单位2</w:t>
            </w:r>
          </w:p>
        </w:tc>
      </w:tr>
      <w:tr w14:paraId="5D8396D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Pr>
          <w:p w14:paraId="69270070">
            <w:pPr>
              <w:pStyle w:val="8"/>
              <w:spacing w:line="360" w:lineRule="auto"/>
              <w:jc w:val="left"/>
              <w:rPr>
                <w:rFonts w:asciiTheme="majorEastAsia" w:hAnsiTheme="majorEastAsia" w:eastAsiaTheme="majorEastAsia" w:cstheme="majorEastAsia"/>
                <w:color w:val="auto"/>
                <w:sz w:val="22"/>
                <w:highlight w:val="none"/>
              </w:rPr>
            </w:pPr>
            <w:r>
              <w:rPr>
                <w:rFonts w:hint="eastAsia" w:asciiTheme="majorEastAsia" w:hAnsiTheme="majorEastAsia" w:eastAsiaTheme="majorEastAsia" w:cstheme="majorEastAsia"/>
                <w:color w:val="auto"/>
                <w:sz w:val="22"/>
                <w:highlight w:val="none"/>
              </w:rPr>
              <w:t>1</w:t>
            </w:r>
          </w:p>
        </w:tc>
        <w:tc>
          <w:tcPr>
            <w:tcW w:w="7371" w:type="dxa"/>
          </w:tcPr>
          <w:p w14:paraId="454F0E8C">
            <w:pPr>
              <w:pStyle w:val="8"/>
              <w:spacing w:line="360" w:lineRule="auto"/>
              <w:jc w:val="left"/>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具有独立承担民事责任的能力：提供法人或其他组织的营业执照等证明文件，或自然人身份证明</w:t>
            </w:r>
          </w:p>
        </w:tc>
        <w:tc>
          <w:tcPr>
            <w:tcW w:w="709" w:type="dxa"/>
          </w:tcPr>
          <w:p w14:paraId="2EBA7F56">
            <w:pPr>
              <w:pStyle w:val="8"/>
              <w:spacing w:line="360" w:lineRule="auto"/>
              <w:jc w:val="left"/>
              <w:rPr>
                <w:rFonts w:asciiTheme="majorEastAsia" w:hAnsiTheme="majorEastAsia" w:eastAsiaTheme="majorEastAsia" w:cstheme="majorEastAsia"/>
                <w:color w:val="auto"/>
                <w:sz w:val="22"/>
                <w:highlight w:val="none"/>
              </w:rPr>
            </w:pPr>
          </w:p>
        </w:tc>
        <w:tc>
          <w:tcPr>
            <w:tcW w:w="675" w:type="dxa"/>
          </w:tcPr>
          <w:p w14:paraId="61D4212C">
            <w:pPr>
              <w:pStyle w:val="8"/>
              <w:spacing w:line="360" w:lineRule="auto"/>
              <w:jc w:val="left"/>
              <w:rPr>
                <w:rFonts w:asciiTheme="majorEastAsia" w:hAnsiTheme="majorEastAsia" w:eastAsiaTheme="majorEastAsia" w:cstheme="majorEastAsia"/>
                <w:color w:val="auto"/>
                <w:sz w:val="22"/>
                <w:highlight w:val="none"/>
              </w:rPr>
            </w:pPr>
          </w:p>
        </w:tc>
      </w:tr>
      <w:tr w14:paraId="707FB38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Pr>
          <w:p w14:paraId="4A7DA5F4">
            <w:pPr>
              <w:pStyle w:val="8"/>
              <w:spacing w:line="360" w:lineRule="auto"/>
              <w:jc w:val="left"/>
              <w:rPr>
                <w:rFonts w:asciiTheme="majorEastAsia" w:hAnsiTheme="majorEastAsia" w:eastAsiaTheme="majorEastAsia" w:cstheme="majorEastAsia"/>
                <w:color w:val="auto"/>
                <w:sz w:val="22"/>
                <w:highlight w:val="none"/>
              </w:rPr>
            </w:pPr>
            <w:r>
              <w:rPr>
                <w:rFonts w:hint="eastAsia" w:asciiTheme="majorEastAsia" w:hAnsiTheme="majorEastAsia" w:eastAsiaTheme="majorEastAsia" w:cstheme="majorEastAsia"/>
                <w:color w:val="auto"/>
                <w:sz w:val="22"/>
                <w:highlight w:val="none"/>
              </w:rPr>
              <w:t>2</w:t>
            </w:r>
          </w:p>
        </w:tc>
        <w:tc>
          <w:tcPr>
            <w:tcW w:w="7371" w:type="dxa"/>
          </w:tcPr>
          <w:p w14:paraId="6ED52C28">
            <w:pPr>
              <w:pStyle w:val="8"/>
              <w:spacing w:line="360" w:lineRule="auto"/>
              <w:jc w:val="left"/>
              <w:rPr>
                <w:rFonts w:hint="eastAsia" w:asciiTheme="majorEastAsia" w:hAnsiTheme="majorEastAsia" w:eastAsiaTheme="majorEastAsia" w:cstheme="majorEastAsia"/>
                <w:color w:val="auto"/>
                <w:sz w:val="24"/>
                <w:highlight w:val="none"/>
                <w:lang w:eastAsia="zh-CN"/>
              </w:rPr>
            </w:pPr>
            <w:r>
              <w:rPr>
                <w:rFonts w:hint="eastAsia" w:asciiTheme="majorEastAsia" w:hAnsiTheme="majorEastAsia" w:eastAsiaTheme="majorEastAsia" w:cstheme="majorEastAsia"/>
                <w:color w:val="auto"/>
                <w:sz w:val="24"/>
                <w:highlight w:val="none"/>
              </w:rPr>
              <w:t>具有良好的商业信誉和健全的财务会计制度：提供2024年度经会计师事务所出具的审计报告或基本开户银行出具的资信证明</w:t>
            </w:r>
            <w:r>
              <w:rPr>
                <w:rFonts w:hint="eastAsia" w:asciiTheme="majorEastAsia" w:hAnsiTheme="majorEastAsia" w:eastAsiaTheme="majorEastAsia" w:cstheme="majorEastAsia"/>
                <w:color w:val="auto"/>
                <w:sz w:val="24"/>
                <w:highlight w:val="none"/>
                <w:lang w:eastAsia="zh-CN"/>
              </w:rPr>
              <w:t>；</w:t>
            </w:r>
          </w:p>
        </w:tc>
        <w:tc>
          <w:tcPr>
            <w:tcW w:w="709" w:type="dxa"/>
          </w:tcPr>
          <w:p w14:paraId="0E4B70A3">
            <w:pPr>
              <w:pStyle w:val="8"/>
              <w:spacing w:line="360" w:lineRule="auto"/>
              <w:jc w:val="left"/>
              <w:rPr>
                <w:rFonts w:asciiTheme="majorEastAsia" w:hAnsiTheme="majorEastAsia" w:eastAsiaTheme="majorEastAsia" w:cstheme="majorEastAsia"/>
                <w:color w:val="auto"/>
                <w:sz w:val="22"/>
                <w:highlight w:val="none"/>
              </w:rPr>
            </w:pPr>
          </w:p>
        </w:tc>
        <w:tc>
          <w:tcPr>
            <w:tcW w:w="675" w:type="dxa"/>
          </w:tcPr>
          <w:p w14:paraId="6AC81E74">
            <w:pPr>
              <w:pStyle w:val="8"/>
              <w:spacing w:line="360" w:lineRule="auto"/>
              <w:jc w:val="left"/>
              <w:rPr>
                <w:rFonts w:asciiTheme="majorEastAsia" w:hAnsiTheme="majorEastAsia" w:eastAsiaTheme="majorEastAsia" w:cstheme="majorEastAsia"/>
                <w:color w:val="auto"/>
                <w:sz w:val="22"/>
                <w:highlight w:val="none"/>
              </w:rPr>
            </w:pPr>
          </w:p>
        </w:tc>
      </w:tr>
      <w:tr w14:paraId="00E77AD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Pr>
          <w:p w14:paraId="5401F669">
            <w:pPr>
              <w:pStyle w:val="8"/>
              <w:spacing w:line="360" w:lineRule="auto"/>
              <w:jc w:val="left"/>
              <w:rPr>
                <w:rFonts w:asciiTheme="majorEastAsia" w:hAnsiTheme="majorEastAsia" w:eastAsiaTheme="majorEastAsia" w:cstheme="majorEastAsia"/>
                <w:color w:val="auto"/>
                <w:sz w:val="22"/>
                <w:highlight w:val="none"/>
              </w:rPr>
            </w:pPr>
            <w:r>
              <w:rPr>
                <w:rFonts w:hint="eastAsia" w:asciiTheme="majorEastAsia" w:hAnsiTheme="majorEastAsia" w:eastAsiaTheme="majorEastAsia" w:cstheme="majorEastAsia"/>
                <w:color w:val="auto"/>
                <w:sz w:val="22"/>
                <w:highlight w:val="none"/>
              </w:rPr>
              <w:t>3</w:t>
            </w:r>
          </w:p>
        </w:tc>
        <w:tc>
          <w:tcPr>
            <w:tcW w:w="7371" w:type="dxa"/>
          </w:tcPr>
          <w:p w14:paraId="5B8EBFAD">
            <w:pPr>
              <w:pStyle w:val="8"/>
              <w:spacing w:line="360" w:lineRule="auto"/>
              <w:jc w:val="left"/>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具有履行合同所必需的设备和专业技术能力：提供具备履行合同所必需的设备和专业技术能力的证明材料（供应商自行承诺，格式自拟）</w:t>
            </w:r>
          </w:p>
        </w:tc>
        <w:tc>
          <w:tcPr>
            <w:tcW w:w="709" w:type="dxa"/>
          </w:tcPr>
          <w:p w14:paraId="56891CCC">
            <w:pPr>
              <w:pStyle w:val="8"/>
              <w:spacing w:line="360" w:lineRule="auto"/>
              <w:jc w:val="left"/>
              <w:rPr>
                <w:rFonts w:asciiTheme="majorEastAsia" w:hAnsiTheme="majorEastAsia" w:eastAsiaTheme="majorEastAsia" w:cstheme="majorEastAsia"/>
                <w:color w:val="auto"/>
                <w:sz w:val="22"/>
                <w:highlight w:val="none"/>
              </w:rPr>
            </w:pPr>
          </w:p>
        </w:tc>
        <w:tc>
          <w:tcPr>
            <w:tcW w:w="675" w:type="dxa"/>
          </w:tcPr>
          <w:p w14:paraId="33E32F1B">
            <w:pPr>
              <w:pStyle w:val="8"/>
              <w:spacing w:line="360" w:lineRule="auto"/>
              <w:jc w:val="left"/>
              <w:rPr>
                <w:rFonts w:asciiTheme="majorEastAsia" w:hAnsiTheme="majorEastAsia" w:eastAsiaTheme="majorEastAsia" w:cstheme="majorEastAsia"/>
                <w:color w:val="auto"/>
                <w:sz w:val="22"/>
                <w:highlight w:val="none"/>
              </w:rPr>
            </w:pPr>
          </w:p>
        </w:tc>
      </w:tr>
      <w:tr w14:paraId="7DDDC29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Pr>
          <w:p w14:paraId="52FE73C3">
            <w:pPr>
              <w:pStyle w:val="8"/>
              <w:spacing w:line="360" w:lineRule="auto"/>
              <w:jc w:val="left"/>
              <w:rPr>
                <w:rFonts w:asciiTheme="majorEastAsia" w:hAnsiTheme="majorEastAsia" w:eastAsiaTheme="majorEastAsia" w:cstheme="majorEastAsia"/>
                <w:color w:val="auto"/>
                <w:sz w:val="22"/>
                <w:highlight w:val="none"/>
              </w:rPr>
            </w:pPr>
            <w:r>
              <w:rPr>
                <w:rFonts w:hint="eastAsia" w:asciiTheme="majorEastAsia" w:hAnsiTheme="majorEastAsia" w:eastAsiaTheme="majorEastAsia" w:cstheme="majorEastAsia"/>
                <w:color w:val="auto"/>
                <w:sz w:val="22"/>
                <w:highlight w:val="none"/>
              </w:rPr>
              <w:t>4</w:t>
            </w:r>
          </w:p>
        </w:tc>
        <w:tc>
          <w:tcPr>
            <w:tcW w:w="7371" w:type="dxa"/>
          </w:tcPr>
          <w:p w14:paraId="369B8D0B">
            <w:pPr>
              <w:pStyle w:val="8"/>
              <w:spacing w:line="360" w:lineRule="auto"/>
              <w:jc w:val="left"/>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具有依法缴纳税收和社会保障资金的良好记录：提供2025年至今任意1个月依法缴纳税收和社会保障资金的有效证明材料（不需要缴纳税收的提供相关证明材料）</w:t>
            </w:r>
          </w:p>
        </w:tc>
        <w:tc>
          <w:tcPr>
            <w:tcW w:w="709" w:type="dxa"/>
          </w:tcPr>
          <w:p w14:paraId="607362FB">
            <w:pPr>
              <w:pStyle w:val="8"/>
              <w:spacing w:line="360" w:lineRule="auto"/>
              <w:jc w:val="left"/>
              <w:rPr>
                <w:rFonts w:asciiTheme="majorEastAsia" w:hAnsiTheme="majorEastAsia" w:eastAsiaTheme="majorEastAsia" w:cstheme="majorEastAsia"/>
                <w:color w:val="auto"/>
                <w:sz w:val="22"/>
                <w:highlight w:val="none"/>
              </w:rPr>
            </w:pPr>
          </w:p>
        </w:tc>
        <w:tc>
          <w:tcPr>
            <w:tcW w:w="675" w:type="dxa"/>
          </w:tcPr>
          <w:p w14:paraId="577384F5">
            <w:pPr>
              <w:pStyle w:val="8"/>
              <w:spacing w:line="360" w:lineRule="auto"/>
              <w:jc w:val="left"/>
              <w:rPr>
                <w:rFonts w:asciiTheme="majorEastAsia" w:hAnsiTheme="majorEastAsia" w:eastAsiaTheme="majorEastAsia" w:cstheme="majorEastAsia"/>
                <w:color w:val="auto"/>
                <w:sz w:val="22"/>
                <w:highlight w:val="none"/>
              </w:rPr>
            </w:pPr>
          </w:p>
        </w:tc>
      </w:tr>
      <w:tr w14:paraId="4266C7B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Pr>
          <w:p w14:paraId="64023260">
            <w:pPr>
              <w:pStyle w:val="8"/>
              <w:spacing w:line="360" w:lineRule="auto"/>
              <w:jc w:val="left"/>
              <w:rPr>
                <w:rFonts w:asciiTheme="majorEastAsia" w:hAnsiTheme="majorEastAsia" w:eastAsiaTheme="majorEastAsia" w:cstheme="majorEastAsia"/>
                <w:color w:val="auto"/>
                <w:sz w:val="22"/>
                <w:highlight w:val="none"/>
              </w:rPr>
            </w:pPr>
            <w:r>
              <w:rPr>
                <w:rFonts w:hint="eastAsia" w:asciiTheme="majorEastAsia" w:hAnsiTheme="majorEastAsia" w:eastAsiaTheme="majorEastAsia" w:cstheme="majorEastAsia"/>
                <w:color w:val="auto"/>
                <w:sz w:val="22"/>
                <w:highlight w:val="none"/>
              </w:rPr>
              <w:t>5</w:t>
            </w:r>
          </w:p>
        </w:tc>
        <w:tc>
          <w:tcPr>
            <w:tcW w:w="7371" w:type="dxa"/>
          </w:tcPr>
          <w:p w14:paraId="07DEEDE2">
            <w:pPr>
              <w:pStyle w:val="8"/>
              <w:spacing w:line="360" w:lineRule="auto"/>
              <w:jc w:val="left"/>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参加本次政府采购活动前三年内，在经营活动中没有违法违规记录：提供参加政府采购活动前3年内在经营活动中没有重大违法记录的书面声明（格式文件详见投标文件范本）</w:t>
            </w:r>
          </w:p>
        </w:tc>
        <w:tc>
          <w:tcPr>
            <w:tcW w:w="709" w:type="dxa"/>
          </w:tcPr>
          <w:p w14:paraId="0B1661FD">
            <w:pPr>
              <w:pStyle w:val="8"/>
              <w:spacing w:line="360" w:lineRule="auto"/>
              <w:jc w:val="left"/>
              <w:rPr>
                <w:rFonts w:asciiTheme="majorEastAsia" w:hAnsiTheme="majorEastAsia" w:eastAsiaTheme="majorEastAsia" w:cstheme="majorEastAsia"/>
                <w:color w:val="auto"/>
                <w:sz w:val="22"/>
                <w:highlight w:val="none"/>
              </w:rPr>
            </w:pPr>
          </w:p>
        </w:tc>
        <w:tc>
          <w:tcPr>
            <w:tcW w:w="675" w:type="dxa"/>
          </w:tcPr>
          <w:p w14:paraId="443BF432">
            <w:pPr>
              <w:pStyle w:val="8"/>
              <w:spacing w:line="360" w:lineRule="auto"/>
              <w:jc w:val="left"/>
              <w:rPr>
                <w:rFonts w:asciiTheme="majorEastAsia" w:hAnsiTheme="majorEastAsia" w:eastAsiaTheme="majorEastAsia" w:cstheme="majorEastAsia"/>
                <w:color w:val="auto"/>
                <w:sz w:val="22"/>
                <w:highlight w:val="none"/>
              </w:rPr>
            </w:pPr>
          </w:p>
        </w:tc>
      </w:tr>
      <w:tr w14:paraId="069A7A0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Pr>
          <w:p w14:paraId="52C3CC1B">
            <w:pPr>
              <w:pStyle w:val="8"/>
              <w:spacing w:line="360" w:lineRule="auto"/>
              <w:jc w:val="left"/>
              <w:rPr>
                <w:rFonts w:asciiTheme="majorEastAsia" w:hAnsiTheme="majorEastAsia" w:eastAsiaTheme="majorEastAsia" w:cstheme="majorEastAsia"/>
                <w:color w:val="auto"/>
                <w:sz w:val="22"/>
                <w:highlight w:val="none"/>
              </w:rPr>
            </w:pPr>
            <w:r>
              <w:rPr>
                <w:rFonts w:hint="eastAsia" w:asciiTheme="majorEastAsia" w:hAnsiTheme="majorEastAsia" w:eastAsiaTheme="majorEastAsia" w:cstheme="majorEastAsia"/>
                <w:color w:val="auto"/>
                <w:sz w:val="22"/>
                <w:highlight w:val="none"/>
              </w:rPr>
              <w:t>6</w:t>
            </w:r>
          </w:p>
        </w:tc>
        <w:tc>
          <w:tcPr>
            <w:tcW w:w="7371" w:type="dxa"/>
          </w:tcPr>
          <w:p w14:paraId="558DE33D">
            <w:pPr>
              <w:pStyle w:val="8"/>
              <w:spacing w:line="360" w:lineRule="auto"/>
              <w:jc w:val="left"/>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法律、行政法规规定的其他条件：供应商须承诺：在“信用中国”网站（www.creditchina.gov.cn）、中国政府采购网（www.ccgp.gov.cn）等渠道查询中未被列入失信被执行人名单、重大税收违法失信主体、政府采购严重违法失信行为记录名单中，如被列入失信被执行人、重大税收违法失信主体、政府采购严重违法失信行为记录名单中的供应商取消其投标资格，并承担由此造成的一切法律责任及后果</w:t>
            </w:r>
          </w:p>
        </w:tc>
        <w:tc>
          <w:tcPr>
            <w:tcW w:w="709" w:type="dxa"/>
          </w:tcPr>
          <w:p w14:paraId="1470FD0A">
            <w:pPr>
              <w:pStyle w:val="8"/>
              <w:spacing w:line="360" w:lineRule="auto"/>
              <w:jc w:val="left"/>
              <w:rPr>
                <w:rFonts w:asciiTheme="majorEastAsia" w:hAnsiTheme="majorEastAsia" w:eastAsiaTheme="majorEastAsia" w:cstheme="majorEastAsia"/>
                <w:color w:val="auto"/>
                <w:sz w:val="22"/>
                <w:highlight w:val="none"/>
              </w:rPr>
            </w:pPr>
          </w:p>
        </w:tc>
        <w:tc>
          <w:tcPr>
            <w:tcW w:w="675" w:type="dxa"/>
          </w:tcPr>
          <w:p w14:paraId="2D5976A7">
            <w:pPr>
              <w:pStyle w:val="8"/>
              <w:spacing w:line="360" w:lineRule="auto"/>
              <w:jc w:val="left"/>
              <w:rPr>
                <w:rFonts w:asciiTheme="majorEastAsia" w:hAnsiTheme="majorEastAsia" w:eastAsiaTheme="majorEastAsia" w:cstheme="majorEastAsia"/>
                <w:color w:val="auto"/>
                <w:sz w:val="22"/>
                <w:highlight w:val="none"/>
              </w:rPr>
            </w:pPr>
          </w:p>
        </w:tc>
      </w:tr>
      <w:tr w14:paraId="7C83655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Pr>
          <w:p w14:paraId="5CD5E24A">
            <w:pPr>
              <w:pStyle w:val="8"/>
              <w:spacing w:line="360" w:lineRule="auto"/>
              <w:jc w:val="left"/>
              <w:rPr>
                <w:rFonts w:asciiTheme="majorEastAsia" w:hAnsiTheme="majorEastAsia" w:eastAsiaTheme="majorEastAsia" w:cstheme="majorEastAsia"/>
                <w:color w:val="auto"/>
                <w:sz w:val="22"/>
                <w:highlight w:val="none"/>
              </w:rPr>
            </w:pPr>
            <w:r>
              <w:rPr>
                <w:rFonts w:hint="eastAsia" w:asciiTheme="majorEastAsia" w:hAnsiTheme="majorEastAsia" w:eastAsiaTheme="majorEastAsia" w:cstheme="majorEastAsia"/>
                <w:color w:val="auto"/>
                <w:sz w:val="22"/>
                <w:highlight w:val="none"/>
              </w:rPr>
              <w:t>7</w:t>
            </w:r>
          </w:p>
        </w:tc>
        <w:tc>
          <w:tcPr>
            <w:tcW w:w="7371" w:type="dxa"/>
          </w:tcPr>
          <w:p w14:paraId="4C810201">
            <w:pPr>
              <w:pStyle w:val="8"/>
              <w:spacing w:line="360" w:lineRule="auto"/>
              <w:jc w:val="left"/>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kern w:val="0"/>
                <w:sz w:val="24"/>
                <w:szCs w:val="18"/>
                <w:highlight w:val="none"/>
              </w:rPr>
              <w:t>特殊资格要求：无</w:t>
            </w:r>
          </w:p>
        </w:tc>
        <w:tc>
          <w:tcPr>
            <w:tcW w:w="709" w:type="dxa"/>
          </w:tcPr>
          <w:p w14:paraId="516349FE">
            <w:pPr>
              <w:pStyle w:val="8"/>
              <w:spacing w:line="360" w:lineRule="auto"/>
              <w:jc w:val="left"/>
              <w:rPr>
                <w:rFonts w:asciiTheme="majorEastAsia" w:hAnsiTheme="majorEastAsia" w:eastAsiaTheme="majorEastAsia" w:cstheme="majorEastAsia"/>
                <w:color w:val="auto"/>
                <w:sz w:val="22"/>
                <w:highlight w:val="none"/>
              </w:rPr>
            </w:pPr>
          </w:p>
        </w:tc>
        <w:tc>
          <w:tcPr>
            <w:tcW w:w="675" w:type="dxa"/>
          </w:tcPr>
          <w:p w14:paraId="1A510D40">
            <w:pPr>
              <w:pStyle w:val="8"/>
              <w:spacing w:line="360" w:lineRule="auto"/>
              <w:jc w:val="left"/>
              <w:rPr>
                <w:rFonts w:asciiTheme="majorEastAsia" w:hAnsiTheme="majorEastAsia" w:eastAsiaTheme="majorEastAsia" w:cstheme="majorEastAsia"/>
                <w:color w:val="auto"/>
                <w:sz w:val="22"/>
                <w:highlight w:val="none"/>
              </w:rPr>
            </w:pPr>
          </w:p>
        </w:tc>
      </w:tr>
      <w:tr w14:paraId="64150D0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046" w:type="dxa"/>
            <w:gridSpan w:val="2"/>
          </w:tcPr>
          <w:p w14:paraId="4F9C4DE2">
            <w:pPr>
              <w:pStyle w:val="8"/>
              <w:spacing w:line="360" w:lineRule="auto"/>
              <w:jc w:val="left"/>
              <w:rPr>
                <w:rFonts w:asciiTheme="majorEastAsia" w:hAnsiTheme="majorEastAsia" w:eastAsiaTheme="majorEastAsia" w:cstheme="majorEastAsia"/>
                <w:color w:val="auto"/>
                <w:sz w:val="22"/>
                <w:highlight w:val="none"/>
              </w:rPr>
            </w:pPr>
            <w:r>
              <w:rPr>
                <w:rFonts w:hint="eastAsia" w:asciiTheme="majorEastAsia" w:hAnsiTheme="majorEastAsia" w:eastAsiaTheme="majorEastAsia" w:cstheme="majorEastAsia"/>
                <w:color w:val="auto"/>
                <w:sz w:val="22"/>
                <w:highlight w:val="none"/>
              </w:rPr>
              <w:t>审查结论（通过或不通过）</w:t>
            </w:r>
          </w:p>
        </w:tc>
        <w:tc>
          <w:tcPr>
            <w:tcW w:w="709" w:type="dxa"/>
          </w:tcPr>
          <w:p w14:paraId="7F61933F">
            <w:pPr>
              <w:pStyle w:val="8"/>
              <w:spacing w:line="360" w:lineRule="auto"/>
              <w:jc w:val="left"/>
              <w:rPr>
                <w:rFonts w:asciiTheme="majorEastAsia" w:hAnsiTheme="majorEastAsia" w:eastAsiaTheme="majorEastAsia" w:cstheme="majorEastAsia"/>
                <w:color w:val="auto"/>
                <w:sz w:val="22"/>
                <w:highlight w:val="none"/>
              </w:rPr>
            </w:pPr>
          </w:p>
        </w:tc>
        <w:tc>
          <w:tcPr>
            <w:tcW w:w="675" w:type="dxa"/>
          </w:tcPr>
          <w:p w14:paraId="409EBCA7">
            <w:pPr>
              <w:pStyle w:val="8"/>
              <w:spacing w:line="360" w:lineRule="auto"/>
              <w:jc w:val="left"/>
              <w:rPr>
                <w:rFonts w:asciiTheme="majorEastAsia" w:hAnsiTheme="majorEastAsia" w:eastAsiaTheme="majorEastAsia" w:cstheme="majorEastAsia"/>
                <w:color w:val="auto"/>
                <w:sz w:val="22"/>
                <w:highlight w:val="none"/>
              </w:rPr>
            </w:pPr>
          </w:p>
        </w:tc>
      </w:tr>
    </w:tbl>
    <w:p w14:paraId="6B2AC258">
      <w:pPr>
        <w:pStyle w:val="8"/>
        <w:spacing w:line="360" w:lineRule="auto"/>
        <w:jc w:val="left"/>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二、评标委员会</w:t>
      </w:r>
    </w:p>
    <w:p w14:paraId="7CDBB83A">
      <w:pPr>
        <w:pStyle w:val="8"/>
        <w:spacing w:line="360" w:lineRule="auto"/>
        <w:jc w:val="left"/>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1、评标委员会于开标前在贵州省综合评标专家库中随机抽取。</w:t>
      </w:r>
    </w:p>
    <w:p w14:paraId="640A180B">
      <w:pPr>
        <w:pStyle w:val="8"/>
        <w:spacing w:line="360" w:lineRule="auto"/>
        <w:jc w:val="left"/>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2、评标由评标委员会负责，与投标供应商有利害关系的人不得进入评标委员会。</w:t>
      </w:r>
    </w:p>
    <w:p w14:paraId="6515E134">
      <w:pPr>
        <w:pStyle w:val="8"/>
        <w:spacing w:line="360" w:lineRule="auto"/>
        <w:jc w:val="left"/>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3、评标委员会成员名单在中标结果确定前保密。</w:t>
      </w:r>
    </w:p>
    <w:p w14:paraId="30691225">
      <w:pPr>
        <w:pStyle w:val="8"/>
        <w:spacing w:line="360" w:lineRule="auto"/>
        <w:jc w:val="left"/>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三、评标方法</w:t>
      </w:r>
    </w:p>
    <w:p w14:paraId="7C2DC178">
      <w:pPr>
        <w:pStyle w:val="8"/>
        <w:spacing w:line="360" w:lineRule="auto"/>
        <w:jc w:val="left"/>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本次招标采用综合评分法，根据各投标供应商的技术、商务、价格得分，计算出各投标供应商的综合评分，评标委员会按照综合得分由高到低原则进行排序，推荐综合得分排名前三的中标候选人。</w:t>
      </w:r>
    </w:p>
    <w:p w14:paraId="2CCF3BDE">
      <w:pPr>
        <w:pStyle w:val="8"/>
        <w:spacing w:line="360" w:lineRule="auto"/>
        <w:jc w:val="left"/>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四、评标标准</w:t>
      </w:r>
    </w:p>
    <w:p w14:paraId="6B25EB67">
      <w:pPr>
        <w:pStyle w:val="8"/>
        <w:spacing w:line="360" w:lineRule="auto"/>
        <w:jc w:val="left"/>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评标形式（采用以下具体步骤）</w:t>
      </w:r>
    </w:p>
    <w:p w14:paraId="6510D4D5">
      <w:pPr>
        <w:pStyle w:val="8"/>
        <w:spacing w:line="360" w:lineRule="auto"/>
        <w:jc w:val="left"/>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第一步：由本项目评标委员会对各投标文件进行符合性审查，符合要求的进入下一步评审阶段。不符合的其投标作为无效标。</w:t>
      </w:r>
    </w:p>
    <w:p w14:paraId="501B58DF">
      <w:pPr>
        <w:pStyle w:val="8"/>
        <w:spacing w:line="360" w:lineRule="auto"/>
        <w:jc w:val="left"/>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第二步：确定中标候选人（按评分细则对入围投标供应商给相应的评分，并计算其总得分，按各项评标因素计算各有效投标供应商的最终得分，以评分从高到低的顺序推荐前 3 名投标供应商作为中标候选人）。</w:t>
      </w:r>
    </w:p>
    <w:p w14:paraId="3902B68C">
      <w:pPr>
        <w:pStyle w:val="8"/>
        <w:spacing w:line="360" w:lineRule="auto"/>
        <w:jc w:val="left"/>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（一）符合性审查表</w:t>
      </w:r>
    </w:p>
    <w:tbl>
      <w:tblPr>
        <w:tblStyle w:val="21"/>
        <w:tblW w:w="9430"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650"/>
        <w:gridCol w:w="1726"/>
        <w:gridCol w:w="5879"/>
        <w:gridCol w:w="559"/>
        <w:gridCol w:w="616"/>
      </w:tblGrid>
      <w:tr w14:paraId="73E1265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50" w:type="dxa"/>
            <w:tcBorders>
              <w:right w:val="single" w:color="auto" w:sz="4" w:space="0"/>
            </w:tcBorders>
          </w:tcPr>
          <w:p w14:paraId="62A2F8E5">
            <w:pPr>
              <w:pStyle w:val="8"/>
              <w:spacing w:line="360" w:lineRule="auto"/>
              <w:jc w:val="left"/>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序</w:t>
            </w:r>
          </w:p>
          <w:p w14:paraId="6001A5A4">
            <w:pPr>
              <w:pStyle w:val="8"/>
              <w:spacing w:line="360" w:lineRule="auto"/>
              <w:jc w:val="left"/>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号</w:t>
            </w:r>
          </w:p>
        </w:tc>
        <w:tc>
          <w:tcPr>
            <w:tcW w:w="7605" w:type="dxa"/>
            <w:gridSpan w:val="2"/>
            <w:tcBorders>
              <w:top w:val="single" w:color="auto" w:sz="4" w:space="0"/>
              <w:left w:val="single" w:color="auto" w:sz="4" w:space="0"/>
              <w:bottom w:val="single" w:color="auto" w:sz="4" w:space="0"/>
              <w:tl2br w:val="single" w:color="auto" w:sz="4" w:space="0"/>
            </w:tcBorders>
          </w:tcPr>
          <w:p w14:paraId="6D575E49">
            <w:pPr>
              <w:pStyle w:val="8"/>
              <w:spacing w:line="360" w:lineRule="auto"/>
              <w:jc w:val="left"/>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xml:space="preserve">                            投标供应商名称</w:t>
            </w:r>
          </w:p>
          <w:p w14:paraId="7A5B3944">
            <w:pPr>
              <w:pStyle w:val="8"/>
              <w:spacing w:line="360" w:lineRule="auto"/>
              <w:jc w:val="left"/>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审查内容</w:t>
            </w:r>
          </w:p>
        </w:tc>
        <w:tc>
          <w:tcPr>
            <w:tcW w:w="559" w:type="dxa"/>
          </w:tcPr>
          <w:p w14:paraId="4031752B">
            <w:pPr>
              <w:pStyle w:val="8"/>
              <w:spacing w:line="360" w:lineRule="auto"/>
              <w:jc w:val="left"/>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A-1</w:t>
            </w:r>
          </w:p>
        </w:tc>
        <w:tc>
          <w:tcPr>
            <w:tcW w:w="616" w:type="dxa"/>
          </w:tcPr>
          <w:p w14:paraId="7EC71070">
            <w:pPr>
              <w:pStyle w:val="8"/>
              <w:spacing w:line="360" w:lineRule="auto"/>
              <w:jc w:val="left"/>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A-2</w:t>
            </w:r>
          </w:p>
        </w:tc>
      </w:tr>
      <w:tr w14:paraId="2430A7A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50" w:type="dxa"/>
          </w:tcPr>
          <w:p w14:paraId="1BDD1BD4">
            <w:pPr>
              <w:pStyle w:val="8"/>
              <w:spacing w:line="360" w:lineRule="auto"/>
              <w:jc w:val="left"/>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w:t>
            </w:r>
          </w:p>
        </w:tc>
        <w:tc>
          <w:tcPr>
            <w:tcW w:w="1726" w:type="dxa"/>
            <w:tcBorders>
              <w:top w:val="single" w:color="auto" w:sz="4" w:space="0"/>
            </w:tcBorders>
            <w:vAlign w:val="center"/>
          </w:tcPr>
          <w:p w14:paraId="0602F4C2">
            <w:pPr>
              <w:pStyle w:val="8"/>
              <w:spacing w:line="360" w:lineRule="auto"/>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投标内容</w:t>
            </w:r>
          </w:p>
        </w:tc>
        <w:tc>
          <w:tcPr>
            <w:tcW w:w="5879" w:type="dxa"/>
            <w:vAlign w:val="center"/>
          </w:tcPr>
          <w:p w14:paraId="0141A50C">
            <w:pPr>
              <w:pStyle w:val="8"/>
              <w:spacing w:line="360" w:lineRule="auto"/>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符合采购文件要求</w:t>
            </w:r>
          </w:p>
        </w:tc>
        <w:tc>
          <w:tcPr>
            <w:tcW w:w="559" w:type="dxa"/>
          </w:tcPr>
          <w:p w14:paraId="014D9472">
            <w:pPr>
              <w:pStyle w:val="8"/>
              <w:spacing w:line="360" w:lineRule="auto"/>
              <w:jc w:val="left"/>
              <w:rPr>
                <w:rFonts w:asciiTheme="majorEastAsia" w:hAnsiTheme="majorEastAsia" w:eastAsiaTheme="majorEastAsia" w:cstheme="majorEastAsia"/>
                <w:color w:val="auto"/>
                <w:sz w:val="24"/>
                <w:highlight w:val="none"/>
              </w:rPr>
            </w:pPr>
          </w:p>
        </w:tc>
        <w:tc>
          <w:tcPr>
            <w:tcW w:w="616" w:type="dxa"/>
          </w:tcPr>
          <w:p w14:paraId="0662846B">
            <w:pPr>
              <w:pStyle w:val="8"/>
              <w:spacing w:line="360" w:lineRule="auto"/>
              <w:jc w:val="left"/>
              <w:rPr>
                <w:rFonts w:asciiTheme="majorEastAsia" w:hAnsiTheme="majorEastAsia" w:eastAsiaTheme="majorEastAsia" w:cstheme="majorEastAsia"/>
                <w:color w:val="auto"/>
                <w:sz w:val="24"/>
                <w:highlight w:val="none"/>
              </w:rPr>
            </w:pPr>
          </w:p>
        </w:tc>
      </w:tr>
      <w:tr w14:paraId="48A12F7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50" w:type="dxa"/>
          </w:tcPr>
          <w:p w14:paraId="518833BA">
            <w:pPr>
              <w:pStyle w:val="8"/>
              <w:spacing w:line="360" w:lineRule="auto"/>
              <w:jc w:val="left"/>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w:t>
            </w:r>
          </w:p>
        </w:tc>
        <w:tc>
          <w:tcPr>
            <w:tcW w:w="1726" w:type="dxa"/>
            <w:tcBorders>
              <w:top w:val="single" w:color="auto" w:sz="4" w:space="0"/>
            </w:tcBorders>
            <w:vAlign w:val="center"/>
          </w:tcPr>
          <w:p w14:paraId="4CB8D2A3">
            <w:pPr>
              <w:pStyle w:val="8"/>
              <w:spacing w:line="360" w:lineRule="auto"/>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服务期</w:t>
            </w:r>
          </w:p>
        </w:tc>
        <w:tc>
          <w:tcPr>
            <w:tcW w:w="5879" w:type="dxa"/>
            <w:vAlign w:val="center"/>
          </w:tcPr>
          <w:p w14:paraId="654B5879">
            <w:pPr>
              <w:pStyle w:val="8"/>
              <w:spacing w:line="360" w:lineRule="auto"/>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符合采购文件要求</w:t>
            </w:r>
          </w:p>
        </w:tc>
        <w:tc>
          <w:tcPr>
            <w:tcW w:w="559" w:type="dxa"/>
          </w:tcPr>
          <w:p w14:paraId="75ED8F3D">
            <w:pPr>
              <w:pStyle w:val="8"/>
              <w:spacing w:line="360" w:lineRule="auto"/>
              <w:jc w:val="left"/>
              <w:rPr>
                <w:rFonts w:asciiTheme="majorEastAsia" w:hAnsiTheme="majorEastAsia" w:eastAsiaTheme="majorEastAsia" w:cstheme="majorEastAsia"/>
                <w:color w:val="auto"/>
                <w:sz w:val="24"/>
                <w:highlight w:val="none"/>
              </w:rPr>
            </w:pPr>
          </w:p>
        </w:tc>
        <w:tc>
          <w:tcPr>
            <w:tcW w:w="616" w:type="dxa"/>
          </w:tcPr>
          <w:p w14:paraId="4C2B1BF7">
            <w:pPr>
              <w:pStyle w:val="8"/>
              <w:spacing w:line="360" w:lineRule="auto"/>
              <w:jc w:val="left"/>
              <w:rPr>
                <w:rFonts w:asciiTheme="majorEastAsia" w:hAnsiTheme="majorEastAsia" w:eastAsiaTheme="majorEastAsia" w:cstheme="majorEastAsia"/>
                <w:color w:val="auto"/>
                <w:sz w:val="24"/>
                <w:highlight w:val="none"/>
              </w:rPr>
            </w:pPr>
          </w:p>
        </w:tc>
      </w:tr>
      <w:tr w14:paraId="76A5888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50" w:type="dxa"/>
          </w:tcPr>
          <w:p w14:paraId="33C96DAA">
            <w:pPr>
              <w:pStyle w:val="8"/>
              <w:spacing w:line="360" w:lineRule="auto"/>
              <w:jc w:val="left"/>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w:t>
            </w:r>
          </w:p>
        </w:tc>
        <w:tc>
          <w:tcPr>
            <w:tcW w:w="1726" w:type="dxa"/>
            <w:tcBorders>
              <w:top w:val="single" w:color="auto" w:sz="4" w:space="0"/>
            </w:tcBorders>
            <w:vAlign w:val="center"/>
          </w:tcPr>
          <w:p w14:paraId="51AA0E2B">
            <w:pPr>
              <w:pStyle w:val="8"/>
              <w:spacing w:line="360" w:lineRule="auto"/>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验收标准、规范</w:t>
            </w:r>
          </w:p>
        </w:tc>
        <w:tc>
          <w:tcPr>
            <w:tcW w:w="5879" w:type="dxa"/>
            <w:vAlign w:val="center"/>
          </w:tcPr>
          <w:p w14:paraId="6F3FBA4F">
            <w:pPr>
              <w:pStyle w:val="8"/>
              <w:spacing w:line="360" w:lineRule="auto"/>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符合采购文件要求</w:t>
            </w:r>
          </w:p>
        </w:tc>
        <w:tc>
          <w:tcPr>
            <w:tcW w:w="559" w:type="dxa"/>
          </w:tcPr>
          <w:p w14:paraId="05C3B63D">
            <w:pPr>
              <w:pStyle w:val="8"/>
              <w:spacing w:line="360" w:lineRule="auto"/>
              <w:jc w:val="left"/>
              <w:rPr>
                <w:rFonts w:asciiTheme="majorEastAsia" w:hAnsiTheme="majorEastAsia" w:eastAsiaTheme="majorEastAsia" w:cstheme="majorEastAsia"/>
                <w:color w:val="auto"/>
                <w:sz w:val="24"/>
                <w:highlight w:val="none"/>
              </w:rPr>
            </w:pPr>
          </w:p>
        </w:tc>
        <w:tc>
          <w:tcPr>
            <w:tcW w:w="616" w:type="dxa"/>
          </w:tcPr>
          <w:p w14:paraId="590EF006">
            <w:pPr>
              <w:pStyle w:val="8"/>
              <w:spacing w:line="360" w:lineRule="auto"/>
              <w:jc w:val="left"/>
              <w:rPr>
                <w:rFonts w:asciiTheme="majorEastAsia" w:hAnsiTheme="majorEastAsia" w:eastAsiaTheme="majorEastAsia" w:cstheme="majorEastAsia"/>
                <w:color w:val="auto"/>
                <w:sz w:val="24"/>
                <w:highlight w:val="none"/>
              </w:rPr>
            </w:pPr>
          </w:p>
        </w:tc>
      </w:tr>
      <w:tr w14:paraId="12C29DA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50" w:type="dxa"/>
          </w:tcPr>
          <w:p w14:paraId="07B231CC">
            <w:pPr>
              <w:pStyle w:val="8"/>
              <w:spacing w:line="360" w:lineRule="auto"/>
              <w:jc w:val="left"/>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3</w:t>
            </w:r>
          </w:p>
        </w:tc>
        <w:tc>
          <w:tcPr>
            <w:tcW w:w="1726" w:type="dxa"/>
            <w:tcBorders>
              <w:top w:val="single" w:color="auto" w:sz="4" w:space="0"/>
            </w:tcBorders>
            <w:vAlign w:val="center"/>
          </w:tcPr>
          <w:p w14:paraId="7BFE93CD">
            <w:pPr>
              <w:pStyle w:val="8"/>
              <w:spacing w:line="360" w:lineRule="auto"/>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投标文件签署、盖章齐全完整</w:t>
            </w:r>
          </w:p>
        </w:tc>
        <w:tc>
          <w:tcPr>
            <w:tcW w:w="5879" w:type="dxa"/>
            <w:vAlign w:val="center"/>
          </w:tcPr>
          <w:p w14:paraId="1AE951BF">
            <w:pPr>
              <w:pStyle w:val="8"/>
              <w:spacing w:line="360" w:lineRule="auto"/>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符合采购文件要求</w:t>
            </w:r>
          </w:p>
        </w:tc>
        <w:tc>
          <w:tcPr>
            <w:tcW w:w="559" w:type="dxa"/>
          </w:tcPr>
          <w:p w14:paraId="65AFEF32">
            <w:pPr>
              <w:pStyle w:val="8"/>
              <w:spacing w:line="360" w:lineRule="auto"/>
              <w:jc w:val="left"/>
              <w:rPr>
                <w:rFonts w:asciiTheme="majorEastAsia" w:hAnsiTheme="majorEastAsia" w:eastAsiaTheme="majorEastAsia" w:cstheme="majorEastAsia"/>
                <w:color w:val="auto"/>
                <w:sz w:val="24"/>
                <w:highlight w:val="none"/>
              </w:rPr>
            </w:pPr>
          </w:p>
        </w:tc>
        <w:tc>
          <w:tcPr>
            <w:tcW w:w="616" w:type="dxa"/>
          </w:tcPr>
          <w:p w14:paraId="699176C6">
            <w:pPr>
              <w:pStyle w:val="8"/>
              <w:spacing w:line="360" w:lineRule="auto"/>
              <w:jc w:val="left"/>
              <w:rPr>
                <w:rFonts w:asciiTheme="majorEastAsia" w:hAnsiTheme="majorEastAsia" w:eastAsiaTheme="majorEastAsia" w:cstheme="majorEastAsia"/>
                <w:color w:val="auto"/>
                <w:sz w:val="24"/>
                <w:highlight w:val="none"/>
              </w:rPr>
            </w:pPr>
          </w:p>
        </w:tc>
      </w:tr>
      <w:tr w14:paraId="6EC5ED7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50" w:type="dxa"/>
          </w:tcPr>
          <w:p w14:paraId="76D68CFB">
            <w:pPr>
              <w:pStyle w:val="8"/>
              <w:spacing w:line="360" w:lineRule="auto"/>
              <w:jc w:val="left"/>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4</w:t>
            </w:r>
          </w:p>
        </w:tc>
        <w:tc>
          <w:tcPr>
            <w:tcW w:w="1726" w:type="dxa"/>
            <w:tcBorders>
              <w:top w:val="single" w:color="auto" w:sz="4" w:space="0"/>
            </w:tcBorders>
            <w:vAlign w:val="center"/>
          </w:tcPr>
          <w:p w14:paraId="3FA32FAC">
            <w:pPr>
              <w:pStyle w:val="8"/>
              <w:spacing w:line="360" w:lineRule="auto"/>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投标有效期</w:t>
            </w:r>
          </w:p>
        </w:tc>
        <w:tc>
          <w:tcPr>
            <w:tcW w:w="5879" w:type="dxa"/>
            <w:vAlign w:val="center"/>
          </w:tcPr>
          <w:p w14:paraId="202ACA44">
            <w:pPr>
              <w:pStyle w:val="8"/>
              <w:spacing w:line="360" w:lineRule="auto"/>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符合采购文件要求</w:t>
            </w:r>
          </w:p>
        </w:tc>
        <w:tc>
          <w:tcPr>
            <w:tcW w:w="559" w:type="dxa"/>
          </w:tcPr>
          <w:p w14:paraId="394D64F6">
            <w:pPr>
              <w:pStyle w:val="8"/>
              <w:spacing w:line="360" w:lineRule="auto"/>
              <w:jc w:val="left"/>
              <w:rPr>
                <w:rFonts w:asciiTheme="majorEastAsia" w:hAnsiTheme="majorEastAsia" w:eastAsiaTheme="majorEastAsia" w:cstheme="majorEastAsia"/>
                <w:color w:val="auto"/>
                <w:sz w:val="24"/>
                <w:highlight w:val="none"/>
              </w:rPr>
            </w:pPr>
          </w:p>
        </w:tc>
        <w:tc>
          <w:tcPr>
            <w:tcW w:w="616" w:type="dxa"/>
          </w:tcPr>
          <w:p w14:paraId="318324D1">
            <w:pPr>
              <w:pStyle w:val="8"/>
              <w:spacing w:line="360" w:lineRule="auto"/>
              <w:jc w:val="left"/>
              <w:rPr>
                <w:rFonts w:asciiTheme="majorEastAsia" w:hAnsiTheme="majorEastAsia" w:eastAsiaTheme="majorEastAsia" w:cstheme="majorEastAsia"/>
                <w:color w:val="auto"/>
                <w:sz w:val="24"/>
                <w:highlight w:val="none"/>
              </w:rPr>
            </w:pPr>
          </w:p>
        </w:tc>
      </w:tr>
      <w:tr w14:paraId="1AC06BC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50" w:type="dxa"/>
          </w:tcPr>
          <w:p w14:paraId="21BB9022">
            <w:pPr>
              <w:pStyle w:val="8"/>
              <w:spacing w:line="360" w:lineRule="auto"/>
              <w:jc w:val="left"/>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5</w:t>
            </w:r>
          </w:p>
        </w:tc>
        <w:tc>
          <w:tcPr>
            <w:tcW w:w="1726" w:type="dxa"/>
            <w:tcBorders>
              <w:top w:val="single" w:color="auto" w:sz="4" w:space="0"/>
            </w:tcBorders>
            <w:vAlign w:val="center"/>
          </w:tcPr>
          <w:p w14:paraId="74226A9C">
            <w:pPr>
              <w:pStyle w:val="8"/>
              <w:spacing w:line="360" w:lineRule="auto"/>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报价审查</w:t>
            </w:r>
          </w:p>
        </w:tc>
        <w:tc>
          <w:tcPr>
            <w:tcW w:w="5879" w:type="dxa"/>
            <w:vAlign w:val="center"/>
          </w:tcPr>
          <w:p w14:paraId="502EB575">
            <w:pPr>
              <w:pStyle w:val="8"/>
              <w:spacing w:line="360" w:lineRule="auto"/>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异常低价审查</w:t>
            </w:r>
          </w:p>
        </w:tc>
        <w:tc>
          <w:tcPr>
            <w:tcW w:w="559" w:type="dxa"/>
          </w:tcPr>
          <w:p w14:paraId="236D1736">
            <w:pPr>
              <w:pStyle w:val="8"/>
              <w:spacing w:line="360" w:lineRule="auto"/>
              <w:jc w:val="left"/>
              <w:rPr>
                <w:rFonts w:asciiTheme="majorEastAsia" w:hAnsiTheme="majorEastAsia" w:eastAsiaTheme="majorEastAsia" w:cstheme="majorEastAsia"/>
                <w:color w:val="auto"/>
                <w:sz w:val="24"/>
                <w:highlight w:val="none"/>
              </w:rPr>
            </w:pPr>
          </w:p>
        </w:tc>
        <w:tc>
          <w:tcPr>
            <w:tcW w:w="616" w:type="dxa"/>
          </w:tcPr>
          <w:p w14:paraId="58028F35">
            <w:pPr>
              <w:pStyle w:val="8"/>
              <w:spacing w:line="360" w:lineRule="auto"/>
              <w:jc w:val="left"/>
              <w:rPr>
                <w:rFonts w:asciiTheme="majorEastAsia" w:hAnsiTheme="majorEastAsia" w:eastAsiaTheme="majorEastAsia" w:cstheme="majorEastAsia"/>
                <w:color w:val="auto"/>
                <w:sz w:val="24"/>
                <w:highlight w:val="none"/>
              </w:rPr>
            </w:pPr>
          </w:p>
        </w:tc>
      </w:tr>
      <w:tr w14:paraId="6086BA7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50" w:type="dxa"/>
          </w:tcPr>
          <w:p w14:paraId="346B3F9C">
            <w:pPr>
              <w:pStyle w:val="8"/>
              <w:spacing w:line="360" w:lineRule="auto"/>
              <w:jc w:val="left"/>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6</w:t>
            </w:r>
          </w:p>
        </w:tc>
        <w:tc>
          <w:tcPr>
            <w:tcW w:w="1726" w:type="dxa"/>
            <w:tcBorders>
              <w:top w:val="single" w:color="auto" w:sz="4" w:space="0"/>
            </w:tcBorders>
            <w:vAlign w:val="center"/>
          </w:tcPr>
          <w:p w14:paraId="1BD254B6">
            <w:pPr>
              <w:pStyle w:val="8"/>
              <w:spacing w:line="360" w:lineRule="auto"/>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投标保证金</w:t>
            </w:r>
          </w:p>
        </w:tc>
        <w:tc>
          <w:tcPr>
            <w:tcW w:w="5879" w:type="dxa"/>
            <w:vAlign w:val="center"/>
          </w:tcPr>
          <w:p w14:paraId="2B3C58E7">
            <w:pPr>
              <w:pStyle w:val="8"/>
              <w:spacing w:line="360" w:lineRule="auto"/>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符合采购文件要求</w:t>
            </w:r>
          </w:p>
        </w:tc>
        <w:tc>
          <w:tcPr>
            <w:tcW w:w="559" w:type="dxa"/>
          </w:tcPr>
          <w:p w14:paraId="5DD473E1">
            <w:pPr>
              <w:pStyle w:val="8"/>
              <w:spacing w:line="360" w:lineRule="auto"/>
              <w:jc w:val="left"/>
              <w:rPr>
                <w:rFonts w:asciiTheme="majorEastAsia" w:hAnsiTheme="majorEastAsia" w:eastAsiaTheme="majorEastAsia" w:cstheme="majorEastAsia"/>
                <w:color w:val="auto"/>
                <w:sz w:val="24"/>
                <w:highlight w:val="none"/>
              </w:rPr>
            </w:pPr>
          </w:p>
        </w:tc>
        <w:tc>
          <w:tcPr>
            <w:tcW w:w="616" w:type="dxa"/>
          </w:tcPr>
          <w:p w14:paraId="40780759">
            <w:pPr>
              <w:pStyle w:val="8"/>
              <w:spacing w:line="360" w:lineRule="auto"/>
              <w:jc w:val="left"/>
              <w:rPr>
                <w:rFonts w:asciiTheme="majorEastAsia" w:hAnsiTheme="majorEastAsia" w:eastAsiaTheme="majorEastAsia" w:cstheme="majorEastAsia"/>
                <w:color w:val="auto"/>
                <w:sz w:val="24"/>
                <w:highlight w:val="none"/>
              </w:rPr>
            </w:pPr>
          </w:p>
        </w:tc>
      </w:tr>
      <w:tr w14:paraId="38556BB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50" w:type="dxa"/>
          </w:tcPr>
          <w:p w14:paraId="090CAF7E">
            <w:pPr>
              <w:pStyle w:val="8"/>
              <w:spacing w:line="360" w:lineRule="auto"/>
              <w:jc w:val="left"/>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7</w:t>
            </w:r>
          </w:p>
        </w:tc>
        <w:tc>
          <w:tcPr>
            <w:tcW w:w="1726" w:type="dxa"/>
          </w:tcPr>
          <w:p w14:paraId="005A1C59">
            <w:pPr>
              <w:pStyle w:val="8"/>
              <w:spacing w:line="360" w:lineRule="auto"/>
              <w:jc w:val="left"/>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无效标审查</w:t>
            </w:r>
          </w:p>
        </w:tc>
        <w:tc>
          <w:tcPr>
            <w:tcW w:w="5879" w:type="dxa"/>
          </w:tcPr>
          <w:p w14:paraId="17A409CE">
            <w:pPr>
              <w:pStyle w:val="8"/>
              <w:spacing w:line="360" w:lineRule="auto"/>
              <w:jc w:val="left"/>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按本项目采购文件第三章第五节无效标条款规定，审查是否通过</w:t>
            </w:r>
          </w:p>
        </w:tc>
        <w:tc>
          <w:tcPr>
            <w:tcW w:w="559" w:type="dxa"/>
          </w:tcPr>
          <w:p w14:paraId="7894B323">
            <w:pPr>
              <w:pStyle w:val="8"/>
              <w:spacing w:line="360" w:lineRule="auto"/>
              <w:jc w:val="left"/>
              <w:rPr>
                <w:rFonts w:asciiTheme="majorEastAsia" w:hAnsiTheme="majorEastAsia" w:eastAsiaTheme="majorEastAsia" w:cstheme="majorEastAsia"/>
                <w:color w:val="auto"/>
                <w:sz w:val="24"/>
                <w:highlight w:val="none"/>
              </w:rPr>
            </w:pPr>
          </w:p>
        </w:tc>
        <w:tc>
          <w:tcPr>
            <w:tcW w:w="616" w:type="dxa"/>
          </w:tcPr>
          <w:p w14:paraId="285E18DE">
            <w:pPr>
              <w:pStyle w:val="8"/>
              <w:spacing w:line="360" w:lineRule="auto"/>
              <w:jc w:val="left"/>
              <w:rPr>
                <w:rFonts w:asciiTheme="majorEastAsia" w:hAnsiTheme="majorEastAsia" w:eastAsiaTheme="majorEastAsia" w:cstheme="majorEastAsia"/>
                <w:color w:val="auto"/>
                <w:sz w:val="24"/>
                <w:highlight w:val="none"/>
              </w:rPr>
            </w:pPr>
          </w:p>
        </w:tc>
      </w:tr>
      <w:tr w14:paraId="6E0124C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255" w:type="dxa"/>
            <w:gridSpan w:val="3"/>
          </w:tcPr>
          <w:p w14:paraId="39FDD1FD">
            <w:pPr>
              <w:pStyle w:val="8"/>
              <w:spacing w:line="360" w:lineRule="auto"/>
              <w:jc w:val="left"/>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审查结论（通过或不通过）</w:t>
            </w:r>
          </w:p>
        </w:tc>
        <w:tc>
          <w:tcPr>
            <w:tcW w:w="559" w:type="dxa"/>
          </w:tcPr>
          <w:p w14:paraId="59D2DFD9">
            <w:pPr>
              <w:pStyle w:val="8"/>
              <w:spacing w:line="360" w:lineRule="auto"/>
              <w:jc w:val="left"/>
              <w:rPr>
                <w:rFonts w:asciiTheme="majorEastAsia" w:hAnsiTheme="majorEastAsia" w:eastAsiaTheme="majorEastAsia" w:cstheme="majorEastAsia"/>
                <w:color w:val="auto"/>
                <w:sz w:val="24"/>
                <w:highlight w:val="none"/>
              </w:rPr>
            </w:pPr>
          </w:p>
        </w:tc>
        <w:tc>
          <w:tcPr>
            <w:tcW w:w="616" w:type="dxa"/>
          </w:tcPr>
          <w:p w14:paraId="2502EE6D">
            <w:pPr>
              <w:pStyle w:val="8"/>
              <w:spacing w:line="360" w:lineRule="auto"/>
              <w:jc w:val="left"/>
              <w:rPr>
                <w:rFonts w:asciiTheme="majorEastAsia" w:hAnsiTheme="majorEastAsia" w:eastAsiaTheme="majorEastAsia" w:cstheme="majorEastAsia"/>
                <w:color w:val="auto"/>
                <w:sz w:val="24"/>
                <w:highlight w:val="none"/>
              </w:rPr>
            </w:pPr>
          </w:p>
        </w:tc>
      </w:tr>
    </w:tbl>
    <w:p w14:paraId="6F01FD3F">
      <w:pPr>
        <w:pStyle w:val="8"/>
        <w:spacing w:line="360" w:lineRule="auto"/>
        <w:jc w:val="left"/>
        <w:rPr>
          <w:rFonts w:asciiTheme="majorEastAsia" w:hAnsiTheme="majorEastAsia" w:eastAsiaTheme="majorEastAsia" w:cstheme="majorEastAsia"/>
          <w:color w:val="auto"/>
          <w:sz w:val="24"/>
          <w:highlight w:val="none"/>
        </w:rPr>
      </w:pPr>
    </w:p>
    <w:p w14:paraId="014C7936">
      <w:pPr>
        <w:pStyle w:val="8"/>
        <w:numPr>
          <w:ilvl w:val="0"/>
          <w:numId w:val="2"/>
        </w:numPr>
        <w:spacing w:line="360" w:lineRule="auto"/>
        <w:jc w:val="left"/>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评分细则及各项评标因素</w:t>
      </w:r>
    </w:p>
    <w:p w14:paraId="5AA35139">
      <w:pPr>
        <w:pStyle w:val="8"/>
        <w:spacing w:line="360" w:lineRule="auto"/>
        <w:jc w:val="left"/>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评分标准涉及到需提供的资料、文件等必须是真实有效的，弄虚作假者一经查实其投标将做无效投标处理，同时该投标供应商相关违法行为将提交到监督管理部门处理。</w:t>
      </w:r>
    </w:p>
    <w:tbl>
      <w:tblPr>
        <w:tblStyle w:val="20"/>
        <w:tblW w:w="95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6662"/>
        <w:gridCol w:w="1269"/>
      </w:tblGrid>
      <w:tr w14:paraId="2EF3B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9" w:type="dxa"/>
            <w:gridSpan w:val="3"/>
            <w:vAlign w:val="center"/>
          </w:tcPr>
          <w:p w14:paraId="1F1976EA">
            <w:pPr>
              <w:snapToGrid w:val="0"/>
              <w:spacing w:line="336" w:lineRule="auto"/>
              <w:jc w:val="center"/>
              <w:rPr>
                <w:rFonts w:ascii="宋体" w:hAnsi="宋体" w:cs="宋体"/>
                <w:color w:val="000000"/>
                <w:szCs w:val="21"/>
              </w:rPr>
            </w:pPr>
            <w:r>
              <w:rPr>
                <w:rFonts w:hint="eastAsia" w:ascii="宋体" w:hAnsi="宋体" w:cs="宋体"/>
                <w:color w:val="000000"/>
                <w:szCs w:val="21"/>
              </w:rPr>
              <w:t>价格部分（10分）</w:t>
            </w:r>
          </w:p>
        </w:tc>
      </w:tr>
      <w:tr w14:paraId="674B4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Align w:val="center"/>
          </w:tcPr>
          <w:p w14:paraId="569E5ED6">
            <w:pPr>
              <w:snapToGrid w:val="0"/>
              <w:spacing w:line="336" w:lineRule="auto"/>
              <w:jc w:val="center"/>
              <w:rPr>
                <w:rFonts w:ascii="宋体" w:hAnsi="宋体" w:cs="宋体"/>
                <w:color w:val="000000"/>
                <w:szCs w:val="21"/>
              </w:rPr>
            </w:pPr>
            <w:r>
              <w:rPr>
                <w:rFonts w:hint="eastAsia" w:ascii="宋体" w:hAnsi="宋体" w:cs="宋体"/>
                <w:szCs w:val="21"/>
              </w:rPr>
              <w:t>价格指标</w:t>
            </w:r>
          </w:p>
        </w:tc>
        <w:tc>
          <w:tcPr>
            <w:tcW w:w="6662" w:type="dxa"/>
            <w:vAlign w:val="center"/>
          </w:tcPr>
          <w:p w14:paraId="14A90B97">
            <w:pPr>
              <w:kinsoku w:val="0"/>
              <w:overflowPunct w:val="0"/>
              <w:autoSpaceDE w:val="0"/>
              <w:autoSpaceDN w:val="0"/>
              <w:adjustRightInd w:val="0"/>
              <w:snapToGrid w:val="0"/>
              <w:spacing w:line="360" w:lineRule="auto"/>
              <w:rPr>
                <w:rFonts w:ascii="宋体" w:hAnsi="宋体" w:cs="宋体"/>
                <w:szCs w:val="21"/>
              </w:rPr>
            </w:pPr>
            <w:r>
              <w:rPr>
                <w:rFonts w:hint="eastAsia" w:ascii="宋体" w:hAnsi="宋体" w:cs="宋体"/>
                <w:szCs w:val="21"/>
              </w:rPr>
              <w:t>满足</w:t>
            </w:r>
            <w:r>
              <w:rPr>
                <w:rFonts w:hint="eastAsia" w:ascii="宋体" w:hAnsi="宋体" w:cs="宋体"/>
                <w:szCs w:val="21"/>
                <w:lang w:val="en-US" w:eastAsia="zh-CN"/>
              </w:rPr>
              <w:t>采购</w:t>
            </w:r>
            <w:r>
              <w:rPr>
                <w:rFonts w:hint="eastAsia" w:ascii="宋体" w:hAnsi="宋体" w:cs="宋体"/>
                <w:szCs w:val="21"/>
              </w:rPr>
              <w:t>文件要求且投标报价中最低的投标报价为评标基准价其价格分为满分；其他投标供应商的价格分统一按照以下公式计算：</w:t>
            </w:r>
          </w:p>
          <w:p w14:paraId="342E5D26">
            <w:pPr>
              <w:kinsoku w:val="0"/>
              <w:overflowPunct w:val="0"/>
              <w:autoSpaceDE w:val="0"/>
              <w:autoSpaceDN w:val="0"/>
              <w:adjustRightInd w:val="0"/>
              <w:snapToGrid w:val="0"/>
              <w:spacing w:line="360" w:lineRule="auto"/>
              <w:rPr>
                <w:rFonts w:ascii="宋体" w:hAnsi="宋体" w:cs="宋体"/>
                <w:szCs w:val="21"/>
              </w:rPr>
            </w:pPr>
            <w:r>
              <w:rPr>
                <w:rFonts w:hint="eastAsia" w:ascii="宋体" w:hAnsi="宋体" w:cs="宋体"/>
                <w:szCs w:val="21"/>
              </w:rPr>
              <w:t>投标报价得分=（评标基准价/投标报价）×10；</w:t>
            </w:r>
          </w:p>
          <w:p w14:paraId="71B8449B">
            <w:pPr>
              <w:snapToGrid w:val="0"/>
              <w:spacing w:line="336" w:lineRule="auto"/>
              <w:jc w:val="left"/>
              <w:rPr>
                <w:rFonts w:ascii="宋体" w:hAnsi="宋体" w:cs="宋体"/>
                <w:color w:val="000000"/>
                <w:szCs w:val="21"/>
              </w:rPr>
            </w:pPr>
            <w:r>
              <w:rPr>
                <w:rFonts w:hint="eastAsia" w:ascii="宋体" w:hAnsi="宋体" w:cs="宋体"/>
                <w:b/>
                <w:bCs/>
                <w:szCs w:val="21"/>
              </w:rPr>
              <w:t>如果在评标过程中，</w:t>
            </w:r>
            <w:r>
              <w:rPr>
                <w:rFonts w:hint="eastAsia" w:ascii="宋体" w:hAnsi="宋体" w:cs="宋体"/>
                <w:b/>
                <w:bCs/>
                <w:szCs w:val="21"/>
                <w:lang w:val="en-US" w:eastAsia="zh-CN"/>
              </w:rPr>
              <w:t>评标委员会</w:t>
            </w:r>
            <w:r>
              <w:rPr>
                <w:rFonts w:hint="eastAsia" w:ascii="宋体" w:hAnsi="宋体" w:cs="宋体"/>
                <w:b/>
                <w:bCs/>
                <w:szCs w:val="21"/>
              </w:rPr>
              <w:t>发现投标供应商的投标报价明显低于其他通过符合性审查投标供应商的综合报价或者有理由怀疑其投标综合报价可能低于其成本的，将要求该投标供应商在规定的时间内出具详细的成本计算清单（加盖投标供应商单位公章或授权代表签字）并提供相关证明材料。投标供应商在规定的时间内不能出具详细的成本计算清单或不能提供相关证明材料的，视作该投标供应商以低于成本报价投标，其响应文件应作废标处理。</w:t>
            </w:r>
          </w:p>
        </w:tc>
        <w:tc>
          <w:tcPr>
            <w:tcW w:w="1269" w:type="dxa"/>
            <w:vAlign w:val="center"/>
          </w:tcPr>
          <w:p w14:paraId="452CEB4A">
            <w:pPr>
              <w:snapToGrid w:val="0"/>
              <w:spacing w:line="336" w:lineRule="auto"/>
              <w:jc w:val="center"/>
              <w:rPr>
                <w:rFonts w:hint="eastAsia" w:ascii="宋体" w:hAnsi="宋体" w:eastAsia="宋体" w:cs="宋体"/>
                <w:color w:val="000000"/>
                <w:szCs w:val="21"/>
                <w:lang w:val="en-US" w:eastAsia="zh-CN"/>
              </w:rPr>
            </w:pPr>
            <w:r>
              <w:rPr>
                <w:rFonts w:hint="eastAsia" w:ascii="宋体" w:hAnsi="宋体" w:cs="宋体"/>
                <w:color w:val="000000"/>
                <w:szCs w:val="21"/>
              </w:rPr>
              <w:t>10</w:t>
            </w:r>
            <w:r>
              <w:rPr>
                <w:rFonts w:hint="eastAsia" w:ascii="宋体" w:hAnsi="宋体" w:cs="宋体"/>
                <w:color w:val="000000"/>
                <w:szCs w:val="21"/>
                <w:lang w:val="en-US" w:eastAsia="zh-CN"/>
              </w:rPr>
              <w:t>分</w:t>
            </w:r>
          </w:p>
        </w:tc>
      </w:tr>
      <w:tr w14:paraId="768BC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9" w:type="dxa"/>
            <w:gridSpan w:val="3"/>
            <w:vAlign w:val="center"/>
          </w:tcPr>
          <w:p w14:paraId="4F1BBF6E">
            <w:pPr>
              <w:snapToGrid w:val="0"/>
              <w:spacing w:line="336" w:lineRule="auto"/>
              <w:jc w:val="center"/>
              <w:rPr>
                <w:rFonts w:ascii="宋体" w:hAnsi="宋体" w:cs="宋体"/>
                <w:color w:val="000000"/>
                <w:szCs w:val="21"/>
              </w:rPr>
            </w:pPr>
            <w:r>
              <w:rPr>
                <w:rFonts w:hint="eastAsia" w:ascii="宋体" w:hAnsi="宋体" w:cs="宋体"/>
                <w:color w:val="000000"/>
                <w:szCs w:val="21"/>
                <w:highlight w:val="none"/>
              </w:rPr>
              <w:t>技术部分（</w:t>
            </w:r>
            <w:r>
              <w:rPr>
                <w:rFonts w:ascii="宋体" w:hAnsi="宋体" w:cs="宋体"/>
                <w:color w:val="000000"/>
                <w:szCs w:val="21"/>
                <w:highlight w:val="none"/>
              </w:rPr>
              <w:t>1</w:t>
            </w:r>
            <w:r>
              <w:rPr>
                <w:rFonts w:hint="eastAsia" w:ascii="宋体" w:hAnsi="宋体" w:cs="宋体"/>
                <w:color w:val="000000"/>
                <w:szCs w:val="21"/>
                <w:highlight w:val="none"/>
              </w:rPr>
              <w:t>5分）</w:t>
            </w:r>
          </w:p>
        </w:tc>
      </w:tr>
      <w:tr w14:paraId="629F6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Align w:val="center"/>
          </w:tcPr>
          <w:p w14:paraId="77271D72">
            <w:pPr>
              <w:snapToGrid w:val="0"/>
              <w:spacing w:line="360" w:lineRule="auto"/>
              <w:jc w:val="center"/>
              <w:rPr>
                <w:rFonts w:ascii="宋体" w:hAnsi="宋体" w:cs="宋体"/>
                <w:color w:val="FF0000"/>
                <w:szCs w:val="21"/>
              </w:rPr>
            </w:pPr>
            <w:r>
              <w:rPr>
                <w:rFonts w:hint="eastAsia"/>
                <w:color w:val="FF0000"/>
                <w:sz w:val="22"/>
                <w:szCs w:val="22"/>
              </w:rPr>
              <w:t>总体系统架构</w:t>
            </w:r>
          </w:p>
        </w:tc>
        <w:tc>
          <w:tcPr>
            <w:tcW w:w="6662" w:type="dxa"/>
            <w:vAlign w:val="center"/>
          </w:tcPr>
          <w:p w14:paraId="32A19B52">
            <w:pPr>
              <w:kinsoku w:val="0"/>
              <w:overflowPunct w:val="0"/>
              <w:autoSpaceDE w:val="0"/>
              <w:autoSpaceDN w:val="0"/>
              <w:adjustRightInd w:val="0"/>
              <w:snapToGrid w:val="0"/>
              <w:spacing w:line="360" w:lineRule="auto"/>
              <w:rPr>
                <w:rFonts w:ascii="宋体" w:hAnsi="宋体" w:cs="宋体"/>
                <w:color w:val="FF0000"/>
                <w:lang w:bidi="zh-CN"/>
              </w:rPr>
            </w:pPr>
            <w:r>
              <w:rPr>
                <w:rFonts w:hint="eastAsia"/>
                <w:color w:val="FF0000"/>
                <w:sz w:val="22"/>
                <w:szCs w:val="22"/>
              </w:rPr>
              <w:t>根据投标人提供的总体系统架构及描述、软件平台详细技术结构（包括但不限于平台的应用架构、部署架构等）、关键技术分析进行综合评定，</w:t>
            </w:r>
            <w:r>
              <w:rPr>
                <w:rFonts w:hint="eastAsia"/>
                <w:color w:val="FF0000"/>
                <w:sz w:val="22"/>
                <w:szCs w:val="22"/>
              </w:rPr>
              <w:br w:type="textWrapping"/>
            </w:r>
            <w:r>
              <w:rPr>
                <w:rFonts w:hint="eastAsia"/>
                <w:color w:val="FF0000"/>
                <w:sz w:val="22"/>
                <w:szCs w:val="22"/>
              </w:rPr>
              <w:t>内容清晰完整、科学合理的得2分；</w:t>
            </w:r>
            <w:r>
              <w:rPr>
                <w:rFonts w:hint="eastAsia"/>
                <w:color w:val="FF0000"/>
                <w:sz w:val="22"/>
                <w:szCs w:val="22"/>
              </w:rPr>
              <w:br w:type="textWrapping"/>
            </w:r>
            <w:r>
              <w:rPr>
                <w:rFonts w:hint="eastAsia"/>
                <w:color w:val="FF0000"/>
                <w:sz w:val="22"/>
                <w:szCs w:val="22"/>
              </w:rPr>
              <w:t>内容简单、空洞的得1分；</w:t>
            </w:r>
            <w:r>
              <w:rPr>
                <w:rFonts w:hint="eastAsia"/>
                <w:color w:val="FF0000"/>
                <w:sz w:val="22"/>
                <w:szCs w:val="22"/>
              </w:rPr>
              <w:br w:type="textWrapping"/>
            </w:r>
            <w:r>
              <w:rPr>
                <w:rFonts w:hint="eastAsia"/>
                <w:color w:val="FF0000"/>
                <w:sz w:val="22"/>
                <w:szCs w:val="22"/>
              </w:rPr>
              <w:t>未做说明的本项不得分。</w:t>
            </w:r>
          </w:p>
        </w:tc>
        <w:tc>
          <w:tcPr>
            <w:tcW w:w="1269" w:type="dxa"/>
            <w:vAlign w:val="center"/>
          </w:tcPr>
          <w:p w14:paraId="7CD06AD5">
            <w:pPr>
              <w:snapToGrid w:val="0"/>
              <w:spacing w:line="360" w:lineRule="auto"/>
              <w:jc w:val="center"/>
              <w:rPr>
                <w:rFonts w:ascii="宋体" w:hAnsi="宋体" w:cs="宋体"/>
                <w:color w:val="FF0000"/>
                <w:szCs w:val="21"/>
              </w:rPr>
            </w:pPr>
            <w:r>
              <w:rPr>
                <w:rFonts w:hint="eastAsia"/>
                <w:color w:val="FF0000"/>
                <w:sz w:val="22"/>
                <w:szCs w:val="22"/>
              </w:rPr>
              <w:t>2</w:t>
            </w:r>
            <w:r>
              <w:rPr>
                <w:rFonts w:hint="eastAsia" w:ascii="宋体" w:hAnsi="宋体" w:cs="宋体"/>
                <w:color w:val="000000"/>
                <w:szCs w:val="21"/>
                <w:lang w:val="en-US" w:eastAsia="zh-CN"/>
              </w:rPr>
              <w:t>分</w:t>
            </w:r>
          </w:p>
        </w:tc>
      </w:tr>
      <w:tr w14:paraId="373FD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Align w:val="center"/>
          </w:tcPr>
          <w:p w14:paraId="65FFC230">
            <w:pPr>
              <w:snapToGrid w:val="0"/>
              <w:spacing w:line="360" w:lineRule="auto"/>
              <w:jc w:val="center"/>
              <w:rPr>
                <w:rFonts w:ascii="宋体" w:hAnsi="宋体" w:cs="宋体"/>
                <w:color w:val="FF0000"/>
                <w:szCs w:val="21"/>
              </w:rPr>
            </w:pPr>
            <w:r>
              <w:rPr>
                <w:rFonts w:hint="eastAsia"/>
                <w:color w:val="FF0000"/>
                <w:sz w:val="22"/>
                <w:szCs w:val="22"/>
              </w:rPr>
              <w:t>应用支撑平台</w:t>
            </w:r>
          </w:p>
        </w:tc>
        <w:tc>
          <w:tcPr>
            <w:tcW w:w="6662" w:type="dxa"/>
            <w:vAlign w:val="center"/>
          </w:tcPr>
          <w:p w14:paraId="1FC9A8A5">
            <w:pPr>
              <w:kinsoku w:val="0"/>
              <w:overflowPunct w:val="0"/>
              <w:autoSpaceDE w:val="0"/>
              <w:autoSpaceDN w:val="0"/>
              <w:adjustRightInd w:val="0"/>
              <w:snapToGrid w:val="0"/>
              <w:spacing w:line="360" w:lineRule="auto"/>
              <w:rPr>
                <w:rFonts w:ascii="宋体" w:hAnsi="宋体" w:cs="宋体"/>
                <w:color w:val="FF0000"/>
                <w:lang w:bidi="zh-CN"/>
              </w:rPr>
            </w:pPr>
            <w:r>
              <w:rPr>
                <w:rFonts w:hint="eastAsia"/>
                <w:color w:val="FF0000"/>
                <w:sz w:val="22"/>
                <w:szCs w:val="22"/>
              </w:rPr>
              <w:t>根据投标人提供的应用支撑平台方案进行综合评定，提供满足需求的描述方案</w:t>
            </w:r>
            <w:r>
              <w:rPr>
                <w:rFonts w:hint="eastAsia"/>
                <w:color w:val="FF0000"/>
                <w:sz w:val="22"/>
                <w:szCs w:val="22"/>
                <w:lang w:eastAsia="zh-CN"/>
              </w:rPr>
              <w:t>；</w:t>
            </w:r>
            <w:r>
              <w:rPr>
                <w:rFonts w:hint="eastAsia"/>
                <w:color w:val="FF0000"/>
                <w:sz w:val="22"/>
                <w:szCs w:val="22"/>
              </w:rPr>
              <w:br w:type="textWrapping"/>
            </w:r>
            <w:r>
              <w:rPr>
                <w:rFonts w:hint="eastAsia"/>
                <w:color w:val="FF0000"/>
                <w:sz w:val="22"/>
                <w:szCs w:val="22"/>
              </w:rPr>
              <w:t>方案详细完整、合理可行、功能完全满足采购需求的得3分；</w:t>
            </w:r>
            <w:r>
              <w:rPr>
                <w:rFonts w:hint="eastAsia"/>
                <w:color w:val="FF0000"/>
                <w:sz w:val="22"/>
                <w:szCs w:val="22"/>
              </w:rPr>
              <w:br w:type="textWrapping"/>
            </w:r>
            <w:r>
              <w:rPr>
                <w:rFonts w:hint="eastAsia"/>
                <w:color w:val="FF0000"/>
                <w:sz w:val="22"/>
                <w:szCs w:val="22"/>
              </w:rPr>
              <w:t>方案内容简单、空洞的得1分；</w:t>
            </w:r>
            <w:r>
              <w:rPr>
                <w:rFonts w:hint="eastAsia"/>
                <w:color w:val="FF0000"/>
                <w:sz w:val="22"/>
                <w:szCs w:val="22"/>
              </w:rPr>
              <w:br w:type="textWrapping"/>
            </w:r>
            <w:r>
              <w:rPr>
                <w:rFonts w:hint="eastAsia"/>
                <w:color w:val="FF0000"/>
                <w:sz w:val="22"/>
                <w:szCs w:val="22"/>
              </w:rPr>
              <w:t>投标人未提供方案或方案与项目严重不符的，本项不得分。</w:t>
            </w:r>
          </w:p>
        </w:tc>
        <w:tc>
          <w:tcPr>
            <w:tcW w:w="1269" w:type="dxa"/>
            <w:vAlign w:val="center"/>
          </w:tcPr>
          <w:p w14:paraId="1657896D">
            <w:pPr>
              <w:snapToGrid w:val="0"/>
              <w:spacing w:line="360" w:lineRule="auto"/>
              <w:jc w:val="center"/>
              <w:rPr>
                <w:rFonts w:ascii="宋体" w:hAnsi="宋体" w:cs="宋体"/>
                <w:color w:val="FF0000"/>
                <w:szCs w:val="21"/>
              </w:rPr>
            </w:pPr>
            <w:r>
              <w:rPr>
                <w:rFonts w:hint="eastAsia"/>
                <w:color w:val="FF0000"/>
                <w:sz w:val="22"/>
                <w:szCs w:val="22"/>
              </w:rPr>
              <w:t>3</w:t>
            </w:r>
            <w:r>
              <w:rPr>
                <w:rFonts w:hint="eastAsia" w:ascii="宋体" w:hAnsi="宋体" w:cs="宋体"/>
                <w:color w:val="000000"/>
                <w:szCs w:val="21"/>
                <w:lang w:val="en-US" w:eastAsia="zh-CN"/>
              </w:rPr>
              <w:t>分</w:t>
            </w:r>
          </w:p>
        </w:tc>
      </w:tr>
      <w:tr w14:paraId="40CBB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Align w:val="center"/>
          </w:tcPr>
          <w:p w14:paraId="74BCA8E1">
            <w:pPr>
              <w:snapToGrid w:val="0"/>
              <w:spacing w:line="360" w:lineRule="auto"/>
              <w:jc w:val="center"/>
              <w:rPr>
                <w:rFonts w:ascii="宋体" w:hAnsi="宋体" w:cs="宋体"/>
                <w:color w:val="FF0000"/>
                <w:szCs w:val="21"/>
              </w:rPr>
            </w:pPr>
            <w:r>
              <w:rPr>
                <w:rFonts w:hint="eastAsia"/>
                <w:color w:val="FF0000"/>
                <w:sz w:val="22"/>
                <w:szCs w:val="22"/>
              </w:rPr>
              <w:t>业务应用平台</w:t>
            </w:r>
          </w:p>
        </w:tc>
        <w:tc>
          <w:tcPr>
            <w:tcW w:w="6662" w:type="dxa"/>
            <w:vAlign w:val="center"/>
          </w:tcPr>
          <w:p w14:paraId="04A7A2B9">
            <w:pPr>
              <w:kinsoku w:val="0"/>
              <w:overflowPunct w:val="0"/>
              <w:autoSpaceDE w:val="0"/>
              <w:autoSpaceDN w:val="0"/>
              <w:adjustRightInd w:val="0"/>
              <w:snapToGrid w:val="0"/>
              <w:spacing w:line="360" w:lineRule="auto"/>
              <w:rPr>
                <w:rFonts w:ascii="宋体" w:hAnsi="宋体" w:cs="宋体"/>
                <w:color w:val="FF0000"/>
                <w:lang w:bidi="zh-CN"/>
              </w:rPr>
            </w:pPr>
            <w:r>
              <w:rPr>
                <w:rFonts w:hint="eastAsia"/>
                <w:color w:val="FF0000"/>
                <w:sz w:val="22"/>
                <w:szCs w:val="22"/>
              </w:rPr>
              <w:t>根据投标人提供的业务应用平台方案进行综合评定，方案应包括产业看板、招商看板、项目看板、企业服务门户、移动应用等：</w:t>
            </w:r>
            <w:r>
              <w:rPr>
                <w:rFonts w:hint="eastAsia"/>
                <w:color w:val="FF0000"/>
                <w:sz w:val="22"/>
                <w:szCs w:val="22"/>
              </w:rPr>
              <w:br w:type="textWrapping"/>
            </w:r>
            <w:r>
              <w:rPr>
                <w:rFonts w:hint="eastAsia"/>
                <w:color w:val="FF0000"/>
                <w:sz w:val="22"/>
                <w:szCs w:val="22"/>
              </w:rPr>
              <w:t>方案完整、合理可行且提供完整系统功能截图的，得</w:t>
            </w:r>
            <w:r>
              <w:rPr>
                <w:rFonts w:hint="eastAsia"/>
                <w:color w:val="FF0000"/>
                <w:sz w:val="22"/>
                <w:szCs w:val="22"/>
                <w:lang w:val="en-US" w:eastAsia="zh-CN"/>
              </w:rPr>
              <w:t>5</w:t>
            </w:r>
            <w:r>
              <w:rPr>
                <w:rFonts w:hint="eastAsia"/>
                <w:color w:val="FF0000"/>
                <w:sz w:val="22"/>
                <w:szCs w:val="22"/>
              </w:rPr>
              <w:t>分；</w:t>
            </w:r>
            <w:r>
              <w:rPr>
                <w:rFonts w:hint="eastAsia"/>
                <w:color w:val="FF0000"/>
                <w:sz w:val="22"/>
                <w:szCs w:val="22"/>
              </w:rPr>
              <w:br w:type="textWrapping"/>
            </w:r>
            <w:r>
              <w:rPr>
                <w:rFonts w:hint="eastAsia"/>
                <w:color w:val="FF0000"/>
                <w:sz w:val="22"/>
                <w:szCs w:val="22"/>
              </w:rPr>
              <w:t>方案比较完整可行、但未提供完整系统功能截图的，得</w:t>
            </w:r>
            <w:r>
              <w:rPr>
                <w:rFonts w:hint="eastAsia"/>
                <w:color w:val="FF0000"/>
                <w:sz w:val="22"/>
                <w:szCs w:val="22"/>
                <w:lang w:val="en-US" w:eastAsia="zh-CN"/>
              </w:rPr>
              <w:t>2.5</w:t>
            </w:r>
            <w:r>
              <w:rPr>
                <w:rFonts w:hint="eastAsia"/>
                <w:color w:val="FF0000"/>
                <w:sz w:val="22"/>
                <w:szCs w:val="22"/>
              </w:rPr>
              <w:t>分；</w:t>
            </w:r>
            <w:r>
              <w:rPr>
                <w:rFonts w:hint="eastAsia"/>
                <w:color w:val="FF0000"/>
                <w:sz w:val="22"/>
                <w:szCs w:val="22"/>
              </w:rPr>
              <w:br w:type="textWrapping"/>
            </w:r>
            <w:r>
              <w:rPr>
                <w:rFonts w:hint="eastAsia"/>
                <w:color w:val="FF0000"/>
                <w:sz w:val="22"/>
                <w:szCs w:val="22"/>
              </w:rPr>
              <w:t>方案内容存在缺漏或与项目严重不符的，不得分。</w:t>
            </w:r>
          </w:p>
        </w:tc>
        <w:tc>
          <w:tcPr>
            <w:tcW w:w="1269" w:type="dxa"/>
            <w:vAlign w:val="center"/>
          </w:tcPr>
          <w:p w14:paraId="2E1A44BC">
            <w:pPr>
              <w:snapToGrid w:val="0"/>
              <w:spacing w:line="360" w:lineRule="auto"/>
              <w:jc w:val="center"/>
              <w:rPr>
                <w:rFonts w:hint="eastAsia" w:ascii="宋体" w:hAnsi="宋体" w:eastAsia="宋体" w:cs="宋体"/>
                <w:color w:val="FF0000"/>
                <w:szCs w:val="21"/>
                <w:lang w:eastAsia="zh-CN"/>
              </w:rPr>
            </w:pPr>
            <w:r>
              <w:rPr>
                <w:rFonts w:hint="eastAsia"/>
                <w:color w:val="FF0000"/>
                <w:sz w:val="22"/>
                <w:szCs w:val="22"/>
                <w:lang w:val="en-US" w:eastAsia="zh-CN"/>
              </w:rPr>
              <w:t>5</w:t>
            </w:r>
            <w:r>
              <w:rPr>
                <w:rFonts w:hint="eastAsia" w:ascii="宋体" w:hAnsi="宋体" w:cs="宋体"/>
                <w:color w:val="000000"/>
                <w:szCs w:val="21"/>
                <w:lang w:val="en-US" w:eastAsia="zh-CN"/>
              </w:rPr>
              <w:t>分</w:t>
            </w:r>
          </w:p>
        </w:tc>
      </w:tr>
      <w:tr w14:paraId="380C9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Align w:val="center"/>
          </w:tcPr>
          <w:p w14:paraId="4C158442">
            <w:pPr>
              <w:snapToGrid w:val="0"/>
              <w:spacing w:line="360" w:lineRule="auto"/>
              <w:jc w:val="center"/>
              <w:rPr>
                <w:rFonts w:hint="default" w:eastAsia="宋体"/>
                <w:color w:val="FF0000"/>
                <w:sz w:val="22"/>
                <w:szCs w:val="22"/>
                <w:lang w:val="en-US" w:eastAsia="zh-CN"/>
              </w:rPr>
            </w:pPr>
            <w:r>
              <w:rPr>
                <w:rFonts w:hint="eastAsia"/>
                <w:color w:val="FF0000"/>
                <w:sz w:val="22"/>
                <w:szCs w:val="22"/>
                <w:lang w:val="en-US" w:eastAsia="zh-CN"/>
              </w:rPr>
              <w:t>实施方案</w:t>
            </w:r>
          </w:p>
        </w:tc>
        <w:tc>
          <w:tcPr>
            <w:tcW w:w="6662" w:type="dxa"/>
            <w:vAlign w:val="center"/>
          </w:tcPr>
          <w:p w14:paraId="1F6CD32D">
            <w:pPr>
              <w:kinsoku w:val="0"/>
              <w:overflowPunct w:val="0"/>
              <w:autoSpaceDE w:val="0"/>
              <w:autoSpaceDN w:val="0"/>
              <w:adjustRightInd w:val="0"/>
              <w:snapToGrid w:val="0"/>
              <w:spacing w:line="360" w:lineRule="auto"/>
              <w:rPr>
                <w:rFonts w:hint="eastAsia"/>
                <w:color w:val="FF0000"/>
                <w:sz w:val="22"/>
                <w:szCs w:val="22"/>
                <w:lang w:eastAsia="zh-CN"/>
              </w:rPr>
            </w:pPr>
            <w:r>
              <w:rPr>
                <w:rFonts w:hint="eastAsia"/>
                <w:color w:val="FF0000"/>
                <w:sz w:val="22"/>
                <w:szCs w:val="22"/>
                <w:lang w:val="en-US" w:eastAsia="zh-CN"/>
              </w:rPr>
              <w:t>根据投标人提供的实施方案（包含但不限于：项目实施计划、项目组织机构、测试方案、风险控制方案、培训方案、试运行方案、售后服务运维体系方案、应急保障措施、故障处理响应时间规划、售后人员安排方案、验收方案）等</w:t>
            </w:r>
            <w:r>
              <w:rPr>
                <w:rFonts w:hint="eastAsia"/>
                <w:color w:val="FF0000"/>
                <w:sz w:val="22"/>
                <w:szCs w:val="22"/>
              </w:rPr>
              <w:t>进行综合评定</w:t>
            </w:r>
            <w:r>
              <w:rPr>
                <w:rFonts w:hint="eastAsia"/>
                <w:color w:val="FF0000"/>
                <w:sz w:val="22"/>
                <w:szCs w:val="22"/>
                <w:lang w:eastAsia="zh-CN"/>
              </w:rPr>
              <w:t>。</w:t>
            </w:r>
          </w:p>
          <w:p w14:paraId="26B26E1A">
            <w:pPr>
              <w:kinsoku w:val="0"/>
              <w:overflowPunct w:val="0"/>
              <w:autoSpaceDE w:val="0"/>
              <w:autoSpaceDN w:val="0"/>
              <w:adjustRightInd w:val="0"/>
              <w:snapToGrid w:val="0"/>
              <w:spacing w:line="360" w:lineRule="auto"/>
              <w:rPr>
                <w:rFonts w:hint="eastAsia"/>
                <w:color w:val="FF0000"/>
                <w:sz w:val="22"/>
                <w:szCs w:val="22"/>
              </w:rPr>
            </w:pPr>
            <w:r>
              <w:rPr>
                <w:rFonts w:hint="eastAsia"/>
                <w:color w:val="FF0000"/>
                <w:sz w:val="22"/>
                <w:szCs w:val="22"/>
              </w:rPr>
              <w:t>内容清晰完整、科学合理的得</w:t>
            </w:r>
            <w:r>
              <w:rPr>
                <w:rFonts w:hint="eastAsia"/>
                <w:color w:val="FF0000"/>
                <w:sz w:val="22"/>
                <w:szCs w:val="22"/>
                <w:lang w:val="en-US" w:eastAsia="zh-CN"/>
              </w:rPr>
              <w:t>5</w:t>
            </w:r>
            <w:r>
              <w:rPr>
                <w:rFonts w:hint="eastAsia"/>
                <w:color w:val="FF0000"/>
                <w:sz w:val="22"/>
                <w:szCs w:val="22"/>
              </w:rPr>
              <w:t>分；</w:t>
            </w:r>
            <w:r>
              <w:rPr>
                <w:rFonts w:hint="eastAsia"/>
                <w:color w:val="FF0000"/>
                <w:sz w:val="22"/>
                <w:szCs w:val="22"/>
              </w:rPr>
              <w:br w:type="textWrapping"/>
            </w:r>
            <w:r>
              <w:rPr>
                <w:rFonts w:hint="eastAsia"/>
                <w:color w:val="FF0000"/>
                <w:sz w:val="22"/>
                <w:szCs w:val="22"/>
              </w:rPr>
              <w:t>内容</w:t>
            </w:r>
            <w:r>
              <w:rPr>
                <w:rFonts w:hint="eastAsia"/>
                <w:color w:val="FF0000"/>
                <w:sz w:val="22"/>
                <w:szCs w:val="22"/>
                <w:lang w:val="en-US" w:eastAsia="zh-CN"/>
              </w:rPr>
              <w:t>完整</w:t>
            </w:r>
            <w:r>
              <w:rPr>
                <w:rFonts w:hint="eastAsia"/>
                <w:color w:val="FF0000"/>
                <w:sz w:val="22"/>
                <w:szCs w:val="22"/>
              </w:rPr>
              <w:t>、</w:t>
            </w:r>
            <w:r>
              <w:rPr>
                <w:rFonts w:hint="eastAsia"/>
                <w:color w:val="FF0000"/>
                <w:sz w:val="22"/>
                <w:szCs w:val="22"/>
                <w:lang w:val="en-US" w:eastAsia="zh-CN"/>
              </w:rPr>
              <w:t>较合理可行</w:t>
            </w:r>
            <w:r>
              <w:rPr>
                <w:rFonts w:hint="eastAsia"/>
                <w:color w:val="FF0000"/>
                <w:sz w:val="22"/>
                <w:szCs w:val="22"/>
              </w:rPr>
              <w:t>的得</w:t>
            </w:r>
            <w:r>
              <w:rPr>
                <w:rFonts w:hint="eastAsia"/>
                <w:color w:val="FF0000"/>
                <w:sz w:val="22"/>
                <w:szCs w:val="22"/>
                <w:lang w:val="en-US" w:eastAsia="zh-CN"/>
              </w:rPr>
              <w:t>2.5</w:t>
            </w:r>
            <w:r>
              <w:rPr>
                <w:rFonts w:hint="eastAsia"/>
                <w:color w:val="FF0000"/>
                <w:sz w:val="22"/>
                <w:szCs w:val="22"/>
              </w:rPr>
              <w:t>分；</w:t>
            </w:r>
          </w:p>
          <w:p w14:paraId="7A405B9A">
            <w:pPr>
              <w:kinsoku w:val="0"/>
              <w:overflowPunct w:val="0"/>
              <w:autoSpaceDE w:val="0"/>
              <w:autoSpaceDN w:val="0"/>
              <w:adjustRightInd w:val="0"/>
              <w:snapToGrid w:val="0"/>
              <w:spacing w:line="360" w:lineRule="auto"/>
              <w:rPr>
                <w:rFonts w:hint="eastAsia" w:eastAsia="宋体"/>
                <w:color w:val="FF0000"/>
                <w:sz w:val="22"/>
                <w:szCs w:val="22"/>
                <w:lang w:val="en-US" w:eastAsia="zh-CN"/>
              </w:rPr>
            </w:pPr>
            <w:r>
              <w:rPr>
                <w:rFonts w:hint="eastAsia"/>
                <w:color w:val="FF0000"/>
                <w:sz w:val="22"/>
                <w:szCs w:val="22"/>
              </w:rPr>
              <w:t>内容</w:t>
            </w:r>
            <w:r>
              <w:rPr>
                <w:rFonts w:hint="eastAsia"/>
                <w:color w:val="FF0000"/>
                <w:sz w:val="22"/>
                <w:szCs w:val="22"/>
                <w:lang w:val="en-US" w:eastAsia="zh-CN"/>
              </w:rPr>
              <w:t>完整</w:t>
            </w:r>
            <w:r>
              <w:rPr>
                <w:rFonts w:hint="eastAsia"/>
                <w:color w:val="FF0000"/>
                <w:sz w:val="22"/>
                <w:szCs w:val="22"/>
              </w:rPr>
              <w:t>、</w:t>
            </w:r>
            <w:r>
              <w:rPr>
                <w:rFonts w:hint="eastAsia"/>
                <w:color w:val="FF0000"/>
                <w:sz w:val="22"/>
                <w:szCs w:val="22"/>
                <w:lang w:val="en-US" w:eastAsia="zh-CN"/>
              </w:rPr>
              <w:t>基本合理可行</w:t>
            </w:r>
            <w:r>
              <w:rPr>
                <w:rFonts w:hint="eastAsia"/>
                <w:color w:val="FF0000"/>
                <w:sz w:val="22"/>
                <w:szCs w:val="22"/>
              </w:rPr>
              <w:t>的得</w:t>
            </w:r>
            <w:r>
              <w:rPr>
                <w:rFonts w:hint="eastAsia"/>
                <w:color w:val="FF0000"/>
                <w:sz w:val="22"/>
                <w:szCs w:val="22"/>
                <w:lang w:val="en-US" w:eastAsia="zh-CN"/>
              </w:rPr>
              <w:t>1</w:t>
            </w:r>
            <w:r>
              <w:rPr>
                <w:rFonts w:hint="eastAsia"/>
                <w:color w:val="FF0000"/>
                <w:sz w:val="22"/>
                <w:szCs w:val="22"/>
              </w:rPr>
              <w:t>分</w:t>
            </w:r>
            <w:r>
              <w:rPr>
                <w:rFonts w:hint="eastAsia"/>
                <w:color w:val="FF0000"/>
                <w:sz w:val="22"/>
                <w:szCs w:val="22"/>
                <w:lang w:eastAsia="zh-CN"/>
              </w:rPr>
              <w:t>；</w:t>
            </w:r>
            <w:r>
              <w:rPr>
                <w:rFonts w:hint="eastAsia"/>
                <w:color w:val="FF0000"/>
                <w:sz w:val="22"/>
                <w:szCs w:val="22"/>
              </w:rPr>
              <w:br w:type="textWrapping"/>
            </w:r>
            <w:r>
              <w:rPr>
                <w:rFonts w:hint="eastAsia"/>
                <w:color w:val="FF0000"/>
                <w:sz w:val="22"/>
                <w:szCs w:val="22"/>
              </w:rPr>
              <w:t>未做说明的本项不得分。</w:t>
            </w:r>
          </w:p>
        </w:tc>
        <w:tc>
          <w:tcPr>
            <w:tcW w:w="1269" w:type="dxa"/>
            <w:vAlign w:val="center"/>
          </w:tcPr>
          <w:p w14:paraId="57782976">
            <w:pPr>
              <w:snapToGrid w:val="0"/>
              <w:spacing w:line="360" w:lineRule="auto"/>
              <w:jc w:val="center"/>
              <w:rPr>
                <w:rFonts w:hint="eastAsia" w:eastAsia="宋体"/>
                <w:color w:val="FF0000"/>
                <w:sz w:val="22"/>
                <w:szCs w:val="22"/>
                <w:lang w:val="en-US" w:eastAsia="zh-CN"/>
              </w:rPr>
            </w:pPr>
            <w:r>
              <w:rPr>
                <w:rFonts w:hint="eastAsia"/>
                <w:color w:val="FF0000"/>
                <w:sz w:val="22"/>
                <w:szCs w:val="22"/>
                <w:lang w:val="en-US" w:eastAsia="zh-CN"/>
              </w:rPr>
              <w:t>5</w:t>
            </w:r>
            <w:r>
              <w:rPr>
                <w:rFonts w:hint="eastAsia" w:ascii="宋体" w:hAnsi="宋体" w:cs="宋体"/>
                <w:color w:val="000000"/>
                <w:szCs w:val="21"/>
                <w:lang w:val="en-US" w:eastAsia="zh-CN"/>
              </w:rPr>
              <w:t>分</w:t>
            </w:r>
          </w:p>
        </w:tc>
      </w:tr>
      <w:tr w14:paraId="16405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9" w:type="dxa"/>
            <w:gridSpan w:val="3"/>
            <w:vAlign w:val="center"/>
          </w:tcPr>
          <w:p w14:paraId="6CEE8A66">
            <w:pPr>
              <w:snapToGrid w:val="0"/>
              <w:spacing w:line="336" w:lineRule="auto"/>
              <w:jc w:val="center"/>
              <w:rPr>
                <w:rFonts w:ascii="宋体" w:hAnsi="宋体" w:cs="宋体"/>
                <w:color w:val="FF0000"/>
                <w:szCs w:val="21"/>
              </w:rPr>
            </w:pPr>
            <w:r>
              <w:rPr>
                <w:rFonts w:hint="eastAsia" w:ascii="宋体" w:hAnsi="宋体" w:cs="宋体"/>
                <w:color w:val="000000" w:themeColor="text1"/>
                <w:szCs w:val="21"/>
                <w:highlight w:val="none"/>
                <w14:textFill>
                  <w14:solidFill>
                    <w14:schemeClr w14:val="tx1"/>
                  </w14:solidFill>
                </w14:textFill>
              </w:rPr>
              <w:t>商务部分（</w:t>
            </w:r>
            <w:r>
              <w:rPr>
                <w:rFonts w:ascii="宋体" w:hAnsi="宋体" w:cs="宋体"/>
                <w:color w:val="000000" w:themeColor="text1"/>
                <w:szCs w:val="21"/>
                <w:highlight w:val="none"/>
                <w14:textFill>
                  <w14:solidFill>
                    <w14:schemeClr w14:val="tx1"/>
                  </w14:solidFill>
                </w14:textFill>
              </w:rPr>
              <w:t>7</w:t>
            </w:r>
            <w:r>
              <w:rPr>
                <w:rFonts w:hint="eastAsia" w:ascii="宋体" w:hAnsi="宋体" w:cs="宋体"/>
                <w:color w:val="000000" w:themeColor="text1"/>
                <w:szCs w:val="21"/>
                <w:highlight w:val="none"/>
                <w14:textFill>
                  <w14:solidFill>
                    <w14:schemeClr w14:val="tx1"/>
                  </w14:solidFill>
                </w14:textFill>
              </w:rPr>
              <w:t>5分）</w:t>
            </w:r>
          </w:p>
        </w:tc>
      </w:tr>
      <w:tr w14:paraId="3DF8A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Align w:val="center"/>
          </w:tcPr>
          <w:p w14:paraId="0D2CFF08">
            <w:pPr>
              <w:snapToGrid w:val="0"/>
              <w:spacing w:line="336" w:lineRule="auto"/>
              <w:jc w:val="center"/>
              <w:rPr>
                <w:rFonts w:hint="default" w:eastAsia="宋体"/>
                <w:color w:val="FF0000"/>
                <w:sz w:val="22"/>
                <w:szCs w:val="22"/>
                <w:lang w:val="en-US" w:eastAsia="zh-CN"/>
              </w:rPr>
            </w:pPr>
            <w:r>
              <w:rPr>
                <w:rFonts w:hint="eastAsia"/>
                <w:color w:val="FF0000"/>
                <w:sz w:val="22"/>
                <w:szCs w:val="22"/>
                <w:lang w:val="en-US" w:eastAsia="zh-CN"/>
              </w:rPr>
              <w:t>体系认证</w:t>
            </w:r>
          </w:p>
        </w:tc>
        <w:tc>
          <w:tcPr>
            <w:tcW w:w="6662" w:type="dxa"/>
            <w:vAlign w:val="center"/>
          </w:tcPr>
          <w:p w14:paraId="124089E9">
            <w:pPr>
              <w:snapToGrid w:val="0"/>
              <w:spacing w:line="336" w:lineRule="auto"/>
              <w:rPr>
                <w:rFonts w:hint="eastAsia"/>
                <w:color w:val="FF0000"/>
                <w:sz w:val="22"/>
                <w:szCs w:val="22"/>
              </w:rPr>
            </w:pPr>
            <w:r>
              <w:rPr>
                <w:rFonts w:hint="eastAsia"/>
                <w:color w:val="FF0000"/>
                <w:sz w:val="22"/>
                <w:szCs w:val="22"/>
              </w:rPr>
              <w:t>为保障项目全生命周期规范管理，投标人同时具备有效期内的ISO9001质量管理体系认证、ISO14001环境管理体系认证、ISO45001职业健康安全管理认证，得6分，每少一项扣2分，扣完为止。（需提供证书扫描件并加盖公章）</w:t>
            </w:r>
          </w:p>
        </w:tc>
        <w:tc>
          <w:tcPr>
            <w:tcW w:w="1269" w:type="dxa"/>
            <w:vAlign w:val="center"/>
          </w:tcPr>
          <w:p w14:paraId="50F7655E">
            <w:pPr>
              <w:snapToGrid w:val="0"/>
              <w:spacing w:line="336" w:lineRule="auto"/>
              <w:jc w:val="center"/>
              <w:rPr>
                <w:rFonts w:hint="eastAsia"/>
                <w:color w:val="FF0000"/>
                <w:sz w:val="22"/>
                <w:szCs w:val="22"/>
              </w:rPr>
            </w:pPr>
            <w:r>
              <w:rPr>
                <w:rFonts w:hint="eastAsia"/>
                <w:color w:val="FF0000"/>
                <w:sz w:val="22"/>
                <w:szCs w:val="22"/>
              </w:rPr>
              <w:t>6</w:t>
            </w:r>
            <w:r>
              <w:rPr>
                <w:rFonts w:hint="eastAsia" w:ascii="宋体" w:hAnsi="宋体" w:cs="宋体"/>
                <w:color w:val="000000"/>
                <w:szCs w:val="21"/>
                <w:lang w:val="en-US" w:eastAsia="zh-CN"/>
              </w:rPr>
              <w:t>分</w:t>
            </w:r>
          </w:p>
        </w:tc>
      </w:tr>
      <w:tr w14:paraId="393B5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Align w:val="center"/>
          </w:tcPr>
          <w:p w14:paraId="07A0ABF0">
            <w:pPr>
              <w:snapToGrid w:val="0"/>
              <w:spacing w:line="336" w:lineRule="auto"/>
              <w:jc w:val="center"/>
              <w:rPr>
                <w:rFonts w:hint="eastAsia"/>
                <w:color w:val="FF0000"/>
                <w:sz w:val="22"/>
                <w:szCs w:val="22"/>
              </w:rPr>
            </w:pPr>
            <w:r>
              <w:rPr>
                <w:rFonts w:hint="eastAsia"/>
                <w:color w:val="FF0000"/>
                <w:sz w:val="22"/>
                <w:szCs w:val="22"/>
              </w:rPr>
              <w:t>履约能力2</w:t>
            </w:r>
          </w:p>
        </w:tc>
        <w:tc>
          <w:tcPr>
            <w:tcW w:w="6662" w:type="dxa"/>
            <w:vAlign w:val="center"/>
          </w:tcPr>
          <w:p w14:paraId="39F0C94A">
            <w:pPr>
              <w:snapToGrid w:val="0"/>
              <w:spacing w:line="336" w:lineRule="auto"/>
              <w:rPr>
                <w:rFonts w:hint="eastAsia"/>
                <w:color w:val="FF0000"/>
                <w:sz w:val="22"/>
                <w:szCs w:val="22"/>
              </w:rPr>
            </w:pPr>
            <w:r>
              <w:rPr>
                <w:rFonts w:hint="eastAsia"/>
                <w:color w:val="FF0000"/>
                <w:sz w:val="22"/>
                <w:szCs w:val="22"/>
              </w:rPr>
              <w:t>为保障项目全生命周期规范管理，投标人同时具备有效期内的ISO20000信息技术服务管理体系认证、GB/T29490知识产权管理体系认证、ISO27001信息安全管理体系认证，得6分，每少一项扣2分，扣完为止。（需提供证书扫描件并加盖公章）</w:t>
            </w:r>
          </w:p>
        </w:tc>
        <w:tc>
          <w:tcPr>
            <w:tcW w:w="1269" w:type="dxa"/>
            <w:vAlign w:val="center"/>
          </w:tcPr>
          <w:p w14:paraId="6566F113">
            <w:pPr>
              <w:snapToGrid w:val="0"/>
              <w:spacing w:line="336" w:lineRule="auto"/>
              <w:jc w:val="center"/>
              <w:rPr>
                <w:rFonts w:hint="eastAsia"/>
                <w:color w:val="FF0000"/>
                <w:sz w:val="22"/>
                <w:szCs w:val="22"/>
              </w:rPr>
            </w:pPr>
            <w:r>
              <w:rPr>
                <w:rFonts w:hint="eastAsia"/>
                <w:color w:val="FF0000"/>
                <w:sz w:val="22"/>
                <w:szCs w:val="22"/>
              </w:rPr>
              <w:t>6</w:t>
            </w:r>
            <w:r>
              <w:rPr>
                <w:rFonts w:hint="eastAsia" w:ascii="宋体" w:hAnsi="宋体" w:cs="宋体"/>
                <w:color w:val="000000"/>
                <w:szCs w:val="21"/>
                <w:lang w:val="en-US" w:eastAsia="zh-CN"/>
              </w:rPr>
              <w:t>分</w:t>
            </w:r>
          </w:p>
        </w:tc>
      </w:tr>
      <w:tr w14:paraId="4E1B1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Align w:val="center"/>
          </w:tcPr>
          <w:p w14:paraId="340E6AE8">
            <w:pPr>
              <w:snapToGrid w:val="0"/>
              <w:spacing w:line="336" w:lineRule="auto"/>
              <w:jc w:val="center"/>
              <w:rPr>
                <w:rFonts w:hint="eastAsia"/>
                <w:color w:val="FF0000"/>
                <w:sz w:val="22"/>
                <w:szCs w:val="22"/>
              </w:rPr>
            </w:pPr>
            <w:r>
              <w:rPr>
                <w:rFonts w:hint="eastAsia"/>
                <w:color w:val="FF0000"/>
                <w:sz w:val="22"/>
                <w:szCs w:val="22"/>
              </w:rPr>
              <w:t>软件开发成熟度评价</w:t>
            </w:r>
          </w:p>
        </w:tc>
        <w:tc>
          <w:tcPr>
            <w:tcW w:w="6662" w:type="dxa"/>
            <w:vAlign w:val="center"/>
          </w:tcPr>
          <w:p w14:paraId="282823A5">
            <w:pPr>
              <w:snapToGrid w:val="0"/>
              <w:spacing w:line="336" w:lineRule="auto"/>
              <w:rPr>
                <w:rFonts w:hint="eastAsia"/>
                <w:color w:val="FF0000"/>
                <w:sz w:val="22"/>
                <w:szCs w:val="22"/>
              </w:rPr>
            </w:pPr>
            <w:r>
              <w:rPr>
                <w:rFonts w:hint="eastAsia"/>
                <w:color w:val="FF0000"/>
                <w:sz w:val="22"/>
                <w:szCs w:val="22"/>
              </w:rPr>
              <w:t>为保障项目软件开发应用规范管理，对投标人的软件开发成熟度进行评价：投标人具有有效期内的CMMI软件能力成熟度模型证书，满足三级及以上的得3分，三级以下的得1分，未提供的不得分。（需提供证书扫描件并加盖公章）</w:t>
            </w:r>
          </w:p>
        </w:tc>
        <w:tc>
          <w:tcPr>
            <w:tcW w:w="1269" w:type="dxa"/>
            <w:vAlign w:val="center"/>
          </w:tcPr>
          <w:p w14:paraId="26EC30DB">
            <w:pPr>
              <w:snapToGrid w:val="0"/>
              <w:spacing w:line="336" w:lineRule="auto"/>
              <w:jc w:val="center"/>
              <w:rPr>
                <w:rFonts w:hint="eastAsia"/>
                <w:color w:val="FF0000"/>
                <w:sz w:val="22"/>
                <w:szCs w:val="22"/>
              </w:rPr>
            </w:pPr>
            <w:r>
              <w:rPr>
                <w:rFonts w:hint="eastAsia"/>
                <w:color w:val="FF0000"/>
                <w:sz w:val="22"/>
                <w:szCs w:val="22"/>
              </w:rPr>
              <w:t>3</w:t>
            </w:r>
            <w:r>
              <w:rPr>
                <w:rFonts w:hint="eastAsia" w:ascii="宋体" w:hAnsi="宋体" w:cs="宋体"/>
                <w:color w:val="000000"/>
                <w:szCs w:val="21"/>
                <w:lang w:val="en-US" w:eastAsia="zh-CN"/>
              </w:rPr>
              <w:t>分</w:t>
            </w:r>
          </w:p>
        </w:tc>
      </w:tr>
      <w:tr w14:paraId="6F3BF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Align w:val="center"/>
          </w:tcPr>
          <w:p w14:paraId="072E672B">
            <w:pPr>
              <w:snapToGrid w:val="0"/>
              <w:spacing w:line="336" w:lineRule="auto"/>
              <w:jc w:val="center"/>
              <w:rPr>
                <w:rFonts w:hint="default" w:eastAsia="宋体"/>
                <w:color w:val="FF0000"/>
                <w:sz w:val="22"/>
                <w:szCs w:val="22"/>
                <w:lang w:val="en-US" w:eastAsia="zh-CN"/>
              </w:rPr>
            </w:pPr>
            <w:r>
              <w:rPr>
                <w:rFonts w:hint="eastAsia"/>
                <w:color w:val="FF0000"/>
                <w:sz w:val="22"/>
                <w:szCs w:val="22"/>
                <w:lang w:val="en-US" w:eastAsia="zh-CN"/>
              </w:rPr>
              <w:t>企业业绩</w:t>
            </w:r>
          </w:p>
        </w:tc>
        <w:tc>
          <w:tcPr>
            <w:tcW w:w="6662" w:type="dxa"/>
            <w:vAlign w:val="center"/>
          </w:tcPr>
          <w:p w14:paraId="74254CA8">
            <w:pPr>
              <w:snapToGrid w:val="0"/>
              <w:spacing w:line="336" w:lineRule="auto"/>
              <w:rPr>
                <w:rFonts w:hint="default" w:eastAsia="宋体"/>
                <w:color w:val="FF0000"/>
                <w:sz w:val="22"/>
                <w:szCs w:val="22"/>
                <w:lang w:val="en-US" w:eastAsia="zh-CN"/>
              </w:rPr>
            </w:pPr>
            <w:r>
              <w:rPr>
                <w:rFonts w:hint="eastAsia"/>
                <w:color w:val="FF0000"/>
                <w:sz w:val="22"/>
                <w:szCs w:val="22"/>
                <w:lang w:val="en-US" w:eastAsia="zh-CN"/>
              </w:rPr>
              <w:t>投标人提供2022年至今同类项目服务业绩，提供1个得2分，满分15分。提供合同或中标通知书复印件加盖单位公章。</w:t>
            </w:r>
          </w:p>
        </w:tc>
        <w:tc>
          <w:tcPr>
            <w:tcW w:w="1269" w:type="dxa"/>
            <w:vAlign w:val="center"/>
          </w:tcPr>
          <w:p w14:paraId="362171F7">
            <w:pPr>
              <w:snapToGrid w:val="0"/>
              <w:spacing w:line="336" w:lineRule="auto"/>
              <w:jc w:val="center"/>
              <w:rPr>
                <w:rFonts w:hint="default" w:eastAsia="宋体"/>
                <w:color w:val="FF0000"/>
                <w:sz w:val="22"/>
                <w:szCs w:val="22"/>
                <w:lang w:val="en-US" w:eastAsia="zh-CN"/>
              </w:rPr>
            </w:pPr>
            <w:r>
              <w:rPr>
                <w:rFonts w:hint="eastAsia"/>
                <w:color w:val="FF0000"/>
                <w:sz w:val="22"/>
                <w:szCs w:val="22"/>
                <w:lang w:val="en-US" w:eastAsia="zh-CN"/>
              </w:rPr>
              <w:t>10</w:t>
            </w:r>
            <w:r>
              <w:rPr>
                <w:rFonts w:hint="eastAsia" w:ascii="宋体" w:hAnsi="宋体" w:cs="宋体"/>
                <w:color w:val="000000"/>
                <w:szCs w:val="21"/>
                <w:lang w:val="en-US" w:eastAsia="zh-CN"/>
              </w:rPr>
              <w:t>分</w:t>
            </w:r>
          </w:p>
        </w:tc>
      </w:tr>
      <w:tr w14:paraId="2EC1A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Align w:val="center"/>
          </w:tcPr>
          <w:p w14:paraId="009DCDBD">
            <w:pPr>
              <w:snapToGrid w:val="0"/>
              <w:spacing w:line="336" w:lineRule="auto"/>
              <w:jc w:val="center"/>
              <w:rPr>
                <w:rFonts w:hint="eastAsia"/>
                <w:color w:val="FF0000"/>
                <w:sz w:val="22"/>
                <w:szCs w:val="22"/>
              </w:rPr>
            </w:pPr>
            <w:r>
              <w:rPr>
                <w:rFonts w:hint="eastAsia"/>
                <w:color w:val="FF0000"/>
                <w:sz w:val="22"/>
                <w:szCs w:val="22"/>
              </w:rPr>
              <w:t>服务质量</w:t>
            </w:r>
          </w:p>
        </w:tc>
        <w:tc>
          <w:tcPr>
            <w:tcW w:w="6662" w:type="dxa"/>
            <w:vAlign w:val="center"/>
          </w:tcPr>
          <w:p w14:paraId="40EA8B59">
            <w:pPr>
              <w:snapToGrid w:val="0"/>
              <w:spacing w:line="336" w:lineRule="auto"/>
              <w:rPr>
                <w:rFonts w:hint="eastAsia"/>
                <w:color w:val="FF0000"/>
                <w:sz w:val="22"/>
                <w:szCs w:val="22"/>
              </w:rPr>
            </w:pPr>
            <w:r>
              <w:rPr>
                <w:rFonts w:hint="eastAsia"/>
                <w:color w:val="FF0000"/>
                <w:sz w:val="22"/>
                <w:szCs w:val="22"/>
              </w:rPr>
              <w:t>投标人需具备良好的项目服务保障能力，根据投标人获得政府部门出具的项目保障评价材料进行评价（如：感谢信、表扬信等），投标人每提供一份得1分，满分10分，未提供的不得分。</w:t>
            </w:r>
          </w:p>
        </w:tc>
        <w:tc>
          <w:tcPr>
            <w:tcW w:w="1269" w:type="dxa"/>
            <w:vAlign w:val="center"/>
          </w:tcPr>
          <w:p w14:paraId="00F0BE50">
            <w:pPr>
              <w:snapToGrid w:val="0"/>
              <w:spacing w:line="336" w:lineRule="auto"/>
              <w:jc w:val="center"/>
              <w:rPr>
                <w:rFonts w:hint="eastAsia"/>
                <w:color w:val="FF0000"/>
                <w:sz w:val="22"/>
                <w:szCs w:val="22"/>
              </w:rPr>
            </w:pPr>
            <w:r>
              <w:rPr>
                <w:rFonts w:hint="eastAsia"/>
                <w:color w:val="FF0000"/>
                <w:sz w:val="22"/>
                <w:szCs w:val="22"/>
              </w:rPr>
              <w:t>10</w:t>
            </w:r>
            <w:r>
              <w:rPr>
                <w:rFonts w:hint="eastAsia" w:ascii="宋体" w:hAnsi="宋体" w:cs="宋体"/>
                <w:color w:val="000000"/>
                <w:szCs w:val="21"/>
                <w:lang w:val="en-US" w:eastAsia="zh-CN"/>
              </w:rPr>
              <w:t>分</w:t>
            </w:r>
          </w:p>
        </w:tc>
      </w:tr>
      <w:tr w14:paraId="6EC5E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Align w:val="center"/>
          </w:tcPr>
          <w:p w14:paraId="573CEC8C">
            <w:pPr>
              <w:snapToGrid w:val="0"/>
              <w:spacing w:line="336" w:lineRule="auto"/>
              <w:jc w:val="center"/>
              <w:rPr>
                <w:rFonts w:hint="eastAsia"/>
                <w:color w:val="FF0000"/>
                <w:sz w:val="22"/>
                <w:szCs w:val="22"/>
              </w:rPr>
            </w:pPr>
            <w:r>
              <w:rPr>
                <w:rFonts w:hint="eastAsia"/>
                <w:color w:val="FF0000"/>
                <w:sz w:val="22"/>
                <w:szCs w:val="22"/>
              </w:rPr>
              <w:t>承诺项目经理稳定性</w:t>
            </w:r>
          </w:p>
        </w:tc>
        <w:tc>
          <w:tcPr>
            <w:tcW w:w="6662" w:type="dxa"/>
            <w:vAlign w:val="center"/>
          </w:tcPr>
          <w:p w14:paraId="574BA531">
            <w:pPr>
              <w:snapToGrid w:val="0"/>
              <w:spacing w:line="336" w:lineRule="auto"/>
              <w:rPr>
                <w:rFonts w:hint="eastAsia"/>
                <w:color w:val="FF0000"/>
                <w:sz w:val="22"/>
                <w:szCs w:val="22"/>
              </w:rPr>
            </w:pPr>
            <w:r>
              <w:rPr>
                <w:rFonts w:hint="eastAsia"/>
                <w:color w:val="FF0000"/>
                <w:sz w:val="22"/>
                <w:szCs w:val="22"/>
              </w:rPr>
              <w:t>投标人需要承诺保持项目经理的稳定性，不随意调整人员，确需调整的须经采购人同意的得2分，须提供书面承诺函（格式自拟），未提供或不满足的不得分。</w:t>
            </w:r>
          </w:p>
        </w:tc>
        <w:tc>
          <w:tcPr>
            <w:tcW w:w="1269" w:type="dxa"/>
            <w:vAlign w:val="center"/>
          </w:tcPr>
          <w:p w14:paraId="0C0D215F">
            <w:pPr>
              <w:snapToGrid w:val="0"/>
              <w:spacing w:line="336" w:lineRule="auto"/>
              <w:jc w:val="center"/>
              <w:rPr>
                <w:rFonts w:hint="eastAsia"/>
                <w:color w:val="FF0000"/>
                <w:sz w:val="22"/>
                <w:szCs w:val="22"/>
              </w:rPr>
            </w:pPr>
            <w:r>
              <w:rPr>
                <w:rFonts w:hint="eastAsia"/>
                <w:color w:val="FF0000"/>
                <w:sz w:val="22"/>
                <w:szCs w:val="22"/>
              </w:rPr>
              <w:t>2</w:t>
            </w:r>
            <w:r>
              <w:rPr>
                <w:rFonts w:hint="eastAsia" w:ascii="宋体" w:hAnsi="宋体" w:cs="宋体"/>
                <w:color w:val="000000"/>
                <w:szCs w:val="21"/>
                <w:lang w:val="en-US" w:eastAsia="zh-CN"/>
              </w:rPr>
              <w:t>分</w:t>
            </w:r>
          </w:p>
        </w:tc>
      </w:tr>
      <w:tr w14:paraId="0BA30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Align w:val="center"/>
          </w:tcPr>
          <w:p w14:paraId="3866CB80">
            <w:pPr>
              <w:snapToGrid w:val="0"/>
              <w:spacing w:line="336" w:lineRule="auto"/>
              <w:jc w:val="center"/>
              <w:rPr>
                <w:rFonts w:hint="eastAsia"/>
                <w:color w:val="FF0000"/>
                <w:sz w:val="22"/>
                <w:szCs w:val="22"/>
              </w:rPr>
            </w:pPr>
            <w:r>
              <w:rPr>
                <w:rFonts w:hint="eastAsia"/>
                <w:color w:val="FF0000"/>
                <w:sz w:val="22"/>
                <w:szCs w:val="22"/>
              </w:rPr>
              <w:t>项目经理</w:t>
            </w:r>
          </w:p>
        </w:tc>
        <w:tc>
          <w:tcPr>
            <w:tcW w:w="6662" w:type="dxa"/>
            <w:vAlign w:val="center"/>
          </w:tcPr>
          <w:p w14:paraId="5A99B55B">
            <w:pPr>
              <w:snapToGrid w:val="0"/>
              <w:spacing w:line="336" w:lineRule="auto"/>
              <w:rPr>
                <w:rFonts w:hint="eastAsia"/>
                <w:color w:val="FF0000"/>
                <w:sz w:val="22"/>
                <w:szCs w:val="22"/>
              </w:rPr>
            </w:pPr>
            <w:r>
              <w:rPr>
                <w:rFonts w:hint="eastAsia"/>
                <w:color w:val="FF0000"/>
                <w:sz w:val="22"/>
                <w:szCs w:val="22"/>
              </w:rPr>
              <w:t>对投标人拟派的项目经理能力进行评价：同时具备高级信息系统项目管理师</w:t>
            </w:r>
            <w:r>
              <w:rPr>
                <w:rFonts w:hint="eastAsia"/>
                <w:color w:val="FF0000"/>
                <w:sz w:val="22"/>
                <w:szCs w:val="22"/>
                <w:lang w:val="en-US" w:eastAsia="zh-CN"/>
              </w:rPr>
              <w:t>得5分；具有</w:t>
            </w:r>
            <w:r>
              <w:rPr>
                <w:rFonts w:hint="eastAsia"/>
                <w:color w:val="FF0000"/>
                <w:sz w:val="22"/>
                <w:szCs w:val="22"/>
              </w:rPr>
              <w:t>高级系统架构师证书的得</w:t>
            </w:r>
            <w:r>
              <w:rPr>
                <w:rFonts w:hint="eastAsia"/>
                <w:color w:val="FF0000"/>
                <w:sz w:val="22"/>
                <w:szCs w:val="22"/>
                <w:lang w:val="en-US" w:eastAsia="zh-CN"/>
              </w:rPr>
              <w:t>5</w:t>
            </w:r>
            <w:r>
              <w:rPr>
                <w:rFonts w:hint="eastAsia"/>
                <w:color w:val="FF0000"/>
                <w:sz w:val="22"/>
                <w:szCs w:val="22"/>
              </w:rPr>
              <w:t>分，</w:t>
            </w:r>
            <w:r>
              <w:rPr>
                <w:rFonts w:hint="eastAsia"/>
                <w:color w:val="FF0000"/>
                <w:sz w:val="22"/>
                <w:szCs w:val="22"/>
                <w:lang w:val="en-US" w:eastAsia="zh-CN"/>
              </w:rPr>
              <w:t>满分10分；不提供</w:t>
            </w:r>
            <w:r>
              <w:rPr>
                <w:rFonts w:hint="eastAsia"/>
                <w:color w:val="FF0000"/>
                <w:sz w:val="22"/>
                <w:szCs w:val="22"/>
              </w:rPr>
              <w:t>不得分。（需提供证书扫描件并加盖公章，同时提供投标人在投标截止时间前六个月任意一个月为其缴纳的社保证明。）</w:t>
            </w:r>
          </w:p>
        </w:tc>
        <w:tc>
          <w:tcPr>
            <w:tcW w:w="1269" w:type="dxa"/>
            <w:vAlign w:val="center"/>
          </w:tcPr>
          <w:p w14:paraId="55CF4551">
            <w:pPr>
              <w:snapToGrid w:val="0"/>
              <w:spacing w:line="336" w:lineRule="auto"/>
              <w:jc w:val="center"/>
              <w:rPr>
                <w:rFonts w:hint="default" w:eastAsia="宋体"/>
                <w:color w:val="FF0000"/>
                <w:sz w:val="22"/>
                <w:szCs w:val="22"/>
                <w:lang w:val="en-US" w:eastAsia="zh-CN"/>
              </w:rPr>
            </w:pPr>
            <w:r>
              <w:rPr>
                <w:rFonts w:hint="eastAsia"/>
                <w:color w:val="FF0000"/>
                <w:sz w:val="22"/>
                <w:szCs w:val="22"/>
                <w:lang w:val="en-US" w:eastAsia="zh-CN"/>
              </w:rPr>
              <w:t>10</w:t>
            </w:r>
            <w:r>
              <w:rPr>
                <w:rFonts w:hint="eastAsia" w:ascii="宋体" w:hAnsi="宋体" w:cs="宋体"/>
                <w:color w:val="000000"/>
                <w:szCs w:val="21"/>
                <w:lang w:val="en-US" w:eastAsia="zh-CN"/>
              </w:rPr>
              <w:t>分</w:t>
            </w:r>
          </w:p>
        </w:tc>
      </w:tr>
      <w:tr w14:paraId="778D0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Align w:val="center"/>
          </w:tcPr>
          <w:p w14:paraId="0813E7A4">
            <w:pPr>
              <w:snapToGrid w:val="0"/>
              <w:spacing w:line="336" w:lineRule="auto"/>
              <w:jc w:val="center"/>
              <w:rPr>
                <w:rFonts w:hint="eastAsia"/>
                <w:color w:val="FF0000"/>
                <w:sz w:val="22"/>
                <w:szCs w:val="22"/>
                <w:highlight w:val="yellow"/>
              </w:rPr>
            </w:pPr>
            <w:r>
              <w:rPr>
                <w:rFonts w:hint="eastAsia"/>
                <w:color w:val="FF0000"/>
                <w:sz w:val="22"/>
                <w:szCs w:val="22"/>
                <w:highlight w:val="yellow"/>
              </w:rPr>
              <w:t>项目成员资质</w:t>
            </w:r>
          </w:p>
        </w:tc>
        <w:tc>
          <w:tcPr>
            <w:tcW w:w="6662" w:type="dxa"/>
            <w:vAlign w:val="center"/>
          </w:tcPr>
          <w:p w14:paraId="7EAA252A">
            <w:pPr>
              <w:snapToGrid w:val="0"/>
              <w:spacing w:line="336" w:lineRule="auto"/>
              <w:rPr>
                <w:rFonts w:hint="eastAsia"/>
                <w:color w:val="FF0000"/>
                <w:sz w:val="22"/>
                <w:szCs w:val="22"/>
                <w:highlight w:val="yellow"/>
              </w:rPr>
            </w:pPr>
            <w:r>
              <w:rPr>
                <w:rFonts w:hint="eastAsia"/>
                <w:color w:val="FF0000"/>
                <w:sz w:val="22"/>
                <w:szCs w:val="22"/>
                <w:highlight w:val="yellow"/>
              </w:rPr>
              <w:t>对投标人拟派的项目成员能力进行评价：每提供</w:t>
            </w:r>
            <w:r>
              <w:rPr>
                <w:rFonts w:hint="eastAsia"/>
                <w:color w:val="FF0000"/>
                <w:sz w:val="22"/>
                <w:szCs w:val="22"/>
                <w:highlight w:val="yellow"/>
                <w:lang w:val="en-US" w:eastAsia="zh-CN"/>
              </w:rPr>
              <w:t>1</w:t>
            </w:r>
            <w:r>
              <w:rPr>
                <w:rFonts w:hint="eastAsia"/>
                <w:color w:val="FF0000"/>
                <w:sz w:val="22"/>
                <w:szCs w:val="22"/>
                <w:highlight w:val="yellow"/>
              </w:rPr>
              <w:t>名具有中级及以上</w:t>
            </w:r>
            <w:r>
              <w:rPr>
                <w:rFonts w:hint="eastAsia"/>
                <w:color w:val="FF0000"/>
                <w:sz w:val="22"/>
                <w:szCs w:val="22"/>
                <w:highlight w:val="yellow"/>
                <w:lang w:val="en-US" w:eastAsia="zh-CN"/>
              </w:rPr>
              <w:t>软件或信息类</w:t>
            </w:r>
            <w:r>
              <w:rPr>
                <w:rFonts w:hint="eastAsia"/>
                <w:color w:val="FF0000"/>
                <w:sz w:val="22"/>
                <w:szCs w:val="22"/>
                <w:highlight w:val="yellow"/>
              </w:rPr>
              <w:t>专业工程师证书的得</w:t>
            </w:r>
            <w:r>
              <w:rPr>
                <w:rFonts w:hint="eastAsia"/>
                <w:color w:val="FF0000"/>
                <w:sz w:val="22"/>
                <w:szCs w:val="22"/>
                <w:highlight w:val="yellow"/>
                <w:lang w:val="en-US" w:eastAsia="zh-CN"/>
              </w:rPr>
              <w:t>3</w:t>
            </w:r>
            <w:r>
              <w:rPr>
                <w:rFonts w:hint="eastAsia"/>
                <w:color w:val="FF0000"/>
                <w:sz w:val="22"/>
                <w:szCs w:val="22"/>
                <w:highlight w:val="yellow"/>
              </w:rPr>
              <w:t>分，本项满分</w:t>
            </w:r>
            <w:r>
              <w:rPr>
                <w:rFonts w:hint="eastAsia"/>
                <w:color w:val="FF0000"/>
                <w:sz w:val="22"/>
                <w:szCs w:val="22"/>
                <w:highlight w:val="yellow"/>
                <w:lang w:val="en-US" w:eastAsia="zh-CN"/>
              </w:rPr>
              <w:t>15</w:t>
            </w:r>
            <w:r>
              <w:rPr>
                <w:rFonts w:hint="eastAsia"/>
                <w:color w:val="FF0000"/>
                <w:sz w:val="22"/>
                <w:szCs w:val="22"/>
                <w:highlight w:val="yellow"/>
              </w:rPr>
              <w:t>分，未提供的，不得分。（需提供证书扫描件并加盖公章，同时提供投标人在投标截止时间前六个月任意一个月为其缴纳的社保证明。）</w:t>
            </w:r>
            <w:r>
              <w:rPr>
                <w:rFonts w:hint="eastAsia"/>
                <w:color w:val="FF0000"/>
                <w:sz w:val="22"/>
                <w:szCs w:val="22"/>
                <w:highlight w:val="yellow"/>
              </w:rPr>
              <w:br w:type="textWrapping"/>
            </w:r>
            <w:r>
              <w:rPr>
                <w:rFonts w:hint="eastAsia"/>
                <w:color w:val="FF0000"/>
                <w:sz w:val="22"/>
                <w:szCs w:val="22"/>
                <w:highlight w:val="yellow"/>
              </w:rPr>
              <w:t>注：项目经理不重复得分。</w:t>
            </w:r>
          </w:p>
        </w:tc>
        <w:tc>
          <w:tcPr>
            <w:tcW w:w="1269" w:type="dxa"/>
            <w:vAlign w:val="center"/>
          </w:tcPr>
          <w:p w14:paraId="6060AB00">
            <w:pPr>
              <w:snapToGrid w:val="0"/>
              <w:spacing w:line="336" w:lineRule="auto"/>
              <w:jc w:val="center"/>
              <w:rPr>
                <w:rFonts w:hint="default" w:eastAsia="宋体"/>
                <w:color w:val="FF0000"/>
                <w:sz w:val="22"/>
                <w:szCs w:val="22"/>
                <w:lang w:val="en-US" w:eastAsia="zh-CN"/>
              </w:rPr>
            </w:pPr>
            <w:r>
              <w:rPr>
                <w:rFonts w:hint="eastAsia"/>
                <w:color w:val="FF0000"/>
                <w:sz w:val="22"/>
                <w:szCs w:val="22"/>
                <w:lang w:val="en-US" w:eastAsia="zh-CN"/>
              </w:rPr>
              <w:t>15</w:t>
            </w:r>
            <w:r>
              <w:rPr>
                <w:rFonts w:hint="eastAsia" w:ascii="宋体" w:hAnsi="宋体" w:cs="宋体"/>
                <w:color w:val="000000"/>
                <w:szCs w:val="21"/>
                <w:lang w:val="en-US" w:eastAsia="zh-CN"/>
              </w:rPr>
              <w:t>分</w:t>
            </w:r>
          </w:p>
        </w:tc>
      </w:tr>
      <w:tr w14:paraId="34439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Align w:val="center"/>
          </w:tcPr>
          <w:p w14:paraId="78E502BC">
            <w:pPr>
              <w:snapToGrid w:val="0"/>
              <w:spacing w:line="336" w:lineRule="auto"/>
              <w:jc w:val="center"/>
              <w:rPr>
                <w:rFonts w:hint="eastAsia"/>
                <w:color w:val="FF0000"/>
                <w:sz w:val="22"/>
                <w:szCs w:val="22"/>
              </w:rPr>
            </w:pPr>
            <w:r>
              <w:rPr>
                <w:rFonts w:hint="eastAsia"/>
                <w:color w:val="FF0000"/>
                <w:sz w:val="22"/>
                <w:szCs w:val="22"/>
              </w:rPr>
              <w:t>本地化服务</w:t>
            </w:r>
          </w:p>
        </w:tc>
        <w:tc>
          <w:tcPr>
            <w:tcW w:w="6662" w:type="dxa"/>
            <w:vAlign w:val="center"/>
          </w:tcPr>
          <w:p w14:paraId="04A6EE98">
            <w:pPr>
              <w:snapToGrid w:val="0"/>
              <w:spacing w:line="336" w:lineRule="auto"/>
              <w:rPr>
                <w:rFonts w:hint="eastAsia"/>
                <w:color w:val="FF0000"/>
                <w:sz w:val="22"/>
                <w:szCs w:val="22"/>
              </w:rPr>
            </w:pPr>
            <w:r>
              <w:rPr>
                <w:rFonts w:hint="eastAsia"/>
                <w:color w:val="FF0000"/>
                <w:sz w:val="22"/>
                <w:szCs w:val="22"/>
              </w:rPr>
              <w:t>投标人可为本项目提</w:t>
            </w:r>
            <w:r>
              <w:rPr>
                <w:rFonts w:hint="eastAsia"/>
                <w:color w:val="FF0000"/>
                <w:sz w:val="22"/>
                <w:szCs w:val="22"/>
                <w:lang w:val="en-US" w:eastAsia="zh-CN"/>
              </w:rPr>
              <w:t>供</w:t>
            </w:r>
            <w:r>
              <w:rPr>
                <w:rFonts w:hint="eastAsia"/>
                <w:color w:val="FF0000"/>
                <w:sz w:val="22"/>
                <w:szCs w:val="22"/>
              </w:rPr>
              <w:t>罗甸县本地化服务保障的，得3分：投标人可提供合作单位协议或者自身机构的营业执照证明，也可提供在本地设立的项目部、办公室、办事处等机构证明，或者承诺（格式自拟）成交后提供本地化服务。</w:t>
            </w:r>
            <w:r>
              <w:rPr>
                <w:rFonts w:hint="eastAsia"/>
                <w:color w:val="FF0000"/>
                <w:sz w:val="22"/>
                <w:szCs w:val="22"/>
              </w:rPr>
              <w:br w:type="textWrapping"/>
            </w:r>
            <w:r>
              <w:rPr>
                <w:rFonts w:hint="eastAsia"/>
                <w:color w:val="FF0000"/>
                <w:sz w:val="22"/>
                <w:szCs w:val="22"/>
              </w:rPr>
              <w:t>注：提供承诺函的投标人若获成交，但未按承诺函履行承诺，则视为以虚假响应谋取成交，采购人除有权单方取消投标人成交资格外，亦有权追究投标人的经济法律责任。</w:t>
            </w:r>
          </w:p>
        </w:tc>
        <w:tc>
          <w:tcPr>
            <w:tcW w:w="1269" w:type="dxa"/>
            <w:vAlign w:val="center"/>
          </w:tcPr>
          <w:p w14:paraId="131C0048">
            <w:pPr>
              <w:snapToGrid w:val="0"/>
              <w:spacing w:line="336" w:lineRule="auto"/>
              <w:jc w:val="center"/>
              <w:rPr>
                <w:rFonts w:hint="eastAsia"/>
                <w:color w:val="FF0000"/>
                <w:sz w:val="22"/>
                <w:szCs w:val="22"/>
              </w:rPr>
            </w:pPr>
            <w:r>
              <w:rPr>
                <w:rFonts w:hint="eastAsia"/>
                <w:color w:val="FF0000"/>
                <w:sz w:val="22"/>
                <w:szCs w:val="22"/>
              </w:rPr>
              <w:t>3</w:t>
            </w:r>
            <w:r>
              <w:rPr>
                <w:rFonts w:hint="eastAsia" w:ascii="宋体" w:hAnsi="宋体" w:cs="宋体"/>
                <w:color w:val="000000"/>
                <w:szCs w:val="21"/>
                <w:lang w:val="en-US" w:eastAsia="zh-CN"/>
              </w:rPr>
              <w:t>分</w:t>
            </w:r>
          </w:p>
        </w:tc>
      </w:tr>
      <w:tr w14:paraId="66271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Align w:val="center"/>
          </w:tcPr>
          <w:p w14:paraId="28D13B4F">
            <w:pPr>
              <w:snapToGrid w:val="0"/>
              <w:spacing w:line="336" w:lineRule="auto"/>
              <w:jc w:val="center"/>
              <w:rPr>
                <w:rFonts w:hint="default" w:eastAsia="宋体"/>
                <w:color w:val="FF0000"/>
                <w:sz w:val="22"/>
                <w:szCs w:val="22"/>
                <w:highlight w:val="yellow"/>
                <w:lang w:val="en-US" w:eastAsia="zh-CN"/>
              </w:rPr>
            </w:pPr>
            <w:r>
              <w:rPr>
                <w:rFonts w:hint="eastAsia"/>
                <w:color w:val="FF0000"/>
                <w:sz w:val="22"/>
                <w:szCs w:val="22"/>
                <w:highlight w:val="yellow"/>
                <w:lang w:val="en-US" w:eastAsia="zh-CN"/>
              </w:rPr>
              <w:t>数据处理能力</w:t>
            </w:r>
          </w:p>
        </w:tc>
        <w:tc>
          <w:tcPr>
            <w:tcW w:w="6662" w:type="dxa"/>
            <w:vAlign w:val="center"/>
          </w:tcPr>
          <w:p w14:paraId="7DDD0B3B">
            <w:pPr>
              <w:snapToGrid w:val="0"/>
              <w:spacing w:line="336" w:lineRule="auto"/>
              <w:rPr>
                <w:rFonts w:hint="eastAsia"/>
                <w:color w:val="FF0000"/>
                <w:sz w:val="22"/>
                <w:szCs w:val="22"/>
                <w:highlight w:val="yellow"/>
              </w:rPr>
            </w:pPr>
            <w:r>
              <w:rPr>
                <w:rFonts w:hint="eastAsia"/>
                <w:color w:val="FF0000"/>
                <w:sz w:val="22"/>
                <w:szCs w:val="22"/>
                <w:highlight w:val="yellow"/>
              </w:rPr>
              <w:t>本项目涉及大量数据处理工作，要求投标人具备行业较高水平。投标人应具备对应</w:t>
            </w:r>
            <w:r>
              <w:rPr>
                <w:rFonts w:hint="eastAsia"/>
                <w:color w:val="FF0000"/>
                <w:sz w:val="22"/>
                <w:szCs w:val="22"/>
                <w:highlight w:val="yellow"/>
                <w:lang w:val="en-US" w:eastAsia="zh-CN"/>
              </w:rPr>
              <w:t>服务能力</w:t>
            </w:r>
            <w:r>
              <w:rPr>
                <w:rFonts w:hint="eastAsia"/>
                <w:color w:val="FF0000"/>
                <w:sz w:val="22"/>
                <w:szCs w:val="22"/>
                <w:highlight w:val="yellow"/>
              </w:rPr>
              <w:t>，</w:t>
            </w:r>
            <w:r>
              <w:rPr>
                <w:rFonts w:hint="eastAsia"/>
                <w:color w:val="FF0000"/>
                <w:sz w:val="22"/>
                <w:szCs w:val="22"/>
                <w:highlight w:val="yellow"/>
                <w:lang w:val="en-US" w:eastAsia="zh-CN"/>
              </w:rPr>
              <w:t>本项目涉及</w:t>
            </w:r>
            <w:r>
              <w:rPr>
                <w:rFonts w:hint="eastAsia"/>
                <w:color w:val="FF0000"/>
                <w:sz w:val="22"/>
                <w:szCs w:val="22"/>
                <w:highlight w:val="yellow"/>
              </w:rPr>
              <w:t>：“数据采集还原”、“数据离线分析”、“数据索引分析”、“数据处理”、“数据治理”、“数据质量管理”、“大数据标签管理”、“多维动态数据组织”、“多源异构海量数据接入”、“数据分级分类”、“大数据知识图谱构建”、“数据标准管理”</w:t>
            </w:r>
            <w:r>
              <w:rPr>
                <w:rFonts w:hint="eastAsia"/>
                <w:color w:val="FF0000"/>
                <w:sz w:val="22"/>
                <w:szCs w:val="22"/>
                <w:highlight w:val="yellow"/>
                <w:lang w:val="en-US" w:eastAsia="zh-CN"/>
              </w:rPr>
              <w:t>等</w:t>
            </w:r>
            <w:r>
              <w:rPr>
                <w:rFonts w:hint="eastAsia"/>
                <w:color w:val="FF0000"/>
                <w:sz w:val="22"/>
                <w:szCs w:val="22"/>
                <w:highlight w:val="yellow"/>
              </w:rPr>
              <w:t>相关</w:t>
            </w:r>
            <w:r>
              <w:rPr>
                <w:rFonts w:hint="eastAsia"/>
                <w:color w:val="FF0000"/>
                <w:sz w:val="22"/>
                <w:szCs w:val="22"/>
                <w:highlight w:val="yellow"/>
                <w:lang w:val="en-US" w:eastAsia="zh-CN"/>
              </w:rPr>
              <w:t>内容</w:t>
            </w:r>
            <w:r>
              <w:rPr>
                <w:rFonts w:hint="eastAsia"/>
                <w:color w:val="FF0000"/>
                <w:sz w:val="22"/>
                <w:szCs w:val="22"/>
                <w:highlight w:val="yellow"/>
              </w:rPr>
              <w:t>。（</w:t>
            </w:r>
            <w:r>
              <w:rPr>
                <w:rFonts w:hint="eastAsia"/>
                <w:color w:val="FF0000"/>
                <w:sz w:val="22"/>
                <w:szCs w:val="22"/>
                <w:highlight w:val="yellow"/>
                <w:lang w:val="en-US" w:eastAsia="zh-CN"/>
              </w:rPr>
              <w:t>提供能完成上述服务能力的证明材料，</w:t>
            </w:r>
            <w:r>
              <w:rPr>
                <w:rFonts w:hint="eastAsia"/>
                <w:color w:val="FF0000"/>
                <w:sz w:val="22"/>
                <w:szCs w:val="22"/>
                <w:highlight w:val="yellow"/>
              </w:rPr>
              <w:t>全部提供的，得10分，缺少一项扣1.5分，扣完为止。</w:t>
            </w:r>
          </w:p>
        </w:tc>
        <w:tc>
          <w:tcPr>
            <w:tcW w:w="1269" w:type="dxa"/>
            <w:vAlign w:val="center"/>
          </w:tcPr>
          <w:p w14:paraId="2404C5DB">
            <w:pPr>
              <w:snapToGrid w:val="0"/>
              <w:spacing w:line="336" w:lineRule="auto"/>
              <w:jc w:val="center"/>
              <w:rPr>
                <w:rFonts w:hint="eastAsia"/>
                <w:color w:val="FF0000"/>
                <w:sz w:val="22"/>
                <w:szCs w:val="22"/>
              </w:rPr>
            </w:pPr>
            <w:r>
              <w:rPr>
                <w:rFonts w:hint="eastAsia"/>
                <w:color w:val="FF0000"/>
                <w:sz w:val="22"/>
                <w:szCs w:val="22"/>
              </w:rPr>
              <w:t>10</w:t>
            </w:r>
            <w:r>
              <w:rPr>
                <w:rFonts w:hint="eastAsia" w:ascii="宋体" w:hAnsi="宋体" w:cs="宋体"/>
                <w:color w:val="000000"/>
                <w:szCs w:val="21"/>
                <w:lang w:val="en-US" w:eastAsia="zh-CN"/>
              </w:rPr>
              <w:t>分</w:t>
            </w:r>
          </w:p>
        </w:tc>
      </w:tr>
      <w:tr w14:paraId="6A4BD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9" w:type="dxa"/>
            <w:gridSpan w:val="3"/>
            <w:vAlign w:val="center"/>
          </w:tcPr>
          <w:p w14:paraId="45084BAC">
            <w:pPr>
              <w:snapToGrid w:val="0"/>
              <w:spacing w:line="336" w:lineRule="auto"/>
              <w:jc w:val="center"/>
              <w:rPr>
                <w:rFonts w:ascii="宋体" w:hAnsi="宋体" w:cs="宋体"/>
                <w:color w:val="FF0000"/>
                <w:szCs w:val="21"/>
              </w:rPr>
            </w:pPr>
            <w:r>
              <w:rPr>
                <w:rFonts w:hint="eastAsia" w:ascii="宋体" w:hAnsi="宋体" w:cs="宋体"/>
                <w:szCs w:val="21"/>
                <w:highlight w:val="yellow"/>
              </w:rPr>
              <w:t>政策性评审（5分）</w:t>
            </w:r>
          </w:p>
        </w:tc>
      </w:tr>
      <w:tr w14:paraId="34EE5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Align w:val="center"/>
          </w:tcPr>
          <w:p w14:paraId="71759056">
            <w:pPr>
              <w:snapToGrid w:val="0"/>
              <w:spacing w:line="336" w:lineRule="auto"/>
              <w:jc w:val="center"/>
              <w:rPr>
                <w:rFonts w:ascii="宋体" w:hAnsi="宋体" w:cs="宋体"/>
                <w:highlight w:val="yellow"/>
                <w:lang w:bidi="zh-CN"/>
              </w:rPr>
            </w:pPr>
            <w:r>
              <w:rPr>
                <w:rFonts w:hint="eastAsia" w:ascii="宋体" w:hAnsi="宋体" w:cs="宋体"/>
                <w:highlight w:val="yellow"/>
                <w:lang w:bidi="zh-CN"/>
              </w:rPr>
              <w:t>节能环保加分</w:t>
            </w:r>
          </w:p>
        </w:tc>
        <w:tc>
          <w:tcPr>
            <w:tcW w:w="6662" w:type="dxa"/>
            <w:vAlign w:val="center"/>
          </w:tcPr>
          <w:p w14:paraId="462F2A74">
            <w:pPr>
              <w:snapToGrid w:val="0"/>
              <w:spacing w:line="336" w:lineRule="auto"/>
              <w:rPr>
                <w:rFonts w:ascii="宋体" w:hAnsi="宋体" w:cs="宋体"/>
                <w:highlight w:val="yellow"/>
                <w:lang w:bidi="zh-CN"/>
              </w:rPr>
            </w:pPr>
            <w:r>
              <w:rPr>
                <w:rFonts w:hint="eastAsia" w:ascii="宋体" w:hAnsi="宋体" w:cs="宋体"/>
                <w:highlight w:val="yellow"/>
                <w:lang w:bidi="zh-CN"/>
              </w:rPr>
              <w:t>对投标产品属于“节能产品清单”或“环保产品清单”有效期内的产品（强制采购产品除外），在招标采购评审工作过程中，给予适当加分，即在总得分基础上， 每一项加</w:t>
            </w:r>
            <w:r>
              <w:rPr>
                <w:rFonts w:ascii="宋体" w:hAnsi="宋体" w:cs="宋体"/>
                <w:highlight w:val="yellow"/>
                <w:lang w:bidi="zh-CN"/>
              </w:rPr>
              <w:t>0.5</w:t>
            </w:r>
            <w:r>
              <w:rPr>
                <w:rFonts w:hint="eastAsia" w:ascii="宋体" w:hAnsi="宋体" w:cs="宋体"/>
                <w:highlight w:val="yellow"/>
                <w:lang w:bidi="zh-CN"/>
              </w:rPr>
              <w:t>分；如投标产品同时属于“节能产品清单”和“环保产品清单”两个清单中产品的，每一项加1分 ，最高不得超过3分。</w:t>
            </w:r>
          </w:p>
        </w:tc>
        <w:tc>
          <w:tcPr>
            <w:tcW w:w="1269" w:type="dxa"/>
            <w:vAlign w:val="center"/>
          </w:tcPr>
          <w:p w14:paraId="1A7C7DAF">
            <w:pPr>
              <w:snapToGrid w:val="0"/>
              <w:spacing w:line="336" w:lineRule="auto"/>
              <w:jc w:val="center"/>
              <w:rPr>
                <w:rFonts w:ascii="宋体" w:hAnsi="宋体" w:cs="宋体"/>
                <w:color w:val="FF0000"/>
                <w:szCs w:val="21"/>
                <w:highlight w:val="yellow"/>
              </w:rPr>
            </w:pPr>
            <w:r>
              <w:rPr>
                <w:rFonts w:ascii="宋体" w:hAnsi="宋体" w:cs="宋体"/>
                <w:color w:val="FF0000"/>
                <w:szCs w:val="21"/>
                <w:highlight w:val="yellow"/>
              </w:rPr>
              <w:t>3</w:t>
            </w:r>
          </w:p>
        </w:tc>
      </w:tr>
      <w:tr w14:paraId="722A6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Align w:val="center"/>
          </w:tcPr>
          <w:p w14:paraId="0921DEC1">
            <w:pPr>
              <w:snapToGrid w:val="0"/>
              <w:spacing w:line="336" w:lineRule="auto"/>
              <w:jc w:val="center"/>
              <w:rPr>
                <w:rFonts w:ascii="宋体" w:hAnsi="宋体" w:cs="宋体"/>
                <w:highlight w:val="yellow"/>
                <w:lang w:bidi="zh-CN"/>
              </w:rPr>
            </w:pPr>
            <w:r>
              <w:rPr>
                <w:rFonts w:hint="eastAsia" w:ascii="宋体" w:hAnsi="宋体" w:cs="宋体"/>
                <w:highlight w:val="yellow"/>
                <w:lang w:bidi="zh-CN"/>
              </w:rPr>
              <w:t>少数民族加分</w:t>
            </w:r>
          </w:p>
        </w:tc>
        <w:tc>
          <w:tcPr>
            <w:tcW w:w="6662" w:type="dxa"/>
            <w:vAlign w:val="center"/>
          </w:tcPr>
          <w:p w14:paraId="736B4523">
            <w:pPr>
              <w:snapToGrid w:val="0"/>
              <w:spacing w:line="336" w:lineRule="auto"/>
              <w:rPr>
                <w:rFonts w:ascii="宋体" w:hAnsi="宋体" w:cs="宋体"/>
                <w:highlight w:val="yellow"/>
                <w:lang w:bidi="zh-CN"/>
              </w:rPr>
            </w:pPr>
            <w:r>
              <w:rPr>
                <w:rFonts w:hint="eastAsia" w:ascii="宋体" w:hAnsi="宋体" w:cs="宋体"/>
                <w:highlight w:val="yellow"/>
                <w:lang w:bidi="zh-CN"/>
              </w:rPr>
              <w:t>对原产地在少数民族自治区和享受少数民族自治待遇的省份的投标主产品（不含附带产品），享受政策性加分和价格扣除，即采用综合评分法或性价比法进行评审的，在总得分基础上加</w:t>
            </w:r>
            <w:r>
              <w:rPr>
                <w:rFonts w:ascii="宋体" w:hAnsi="宋体" w:cs="宋体"/>
                <w:highlight w:val="yellow"/>
                <w:lang w:bidi="zh-CN"/>
              </w:rPr>
              <w:t>2</w:t>
            </w:r>
            <w:r>
              <w:rPr>
                <w:rFonts w:hint="eastAsia" w:ascii="宋体" w:hAnsi="宋体" w:cs="宋体"/>
                <w:highlight w:val="yellow"/>
                <w:lang w:bidi="zh-CN"/>
              </w:rPr>
              <w:t>分；</w:t>
            </w:r>
          </w:p>
        </w:tc>
        <w:tc>
          <w:tcPr>
            <w:tcW w:w="1269" w:type="dxa"/>
            <w:vAlign w:val="center"/>
          </w:tcPr>
          <w:p w14:paraId="75484FCD">
            <w:pPr>
              <w:snapToGrid w:val="0"/>
              <w:spacing w:line="336" w:lineRule="auto"/>
              <w:jc w:val="center"/>
              <w:rPr>
                <w:rFonts w:ascii="宋体" w:hAnsi="宋体" w:cs="宋体"/>
                <w:color w:val="FF0000"/>
                <w:szCs w:val="21"/>
                <w:highlight w:val="yellow"/>
              </w:rPr>
            </w:pPr>
            <w:r>
              <w:rPr>
                <w:rFonts w:ascii="宋体" w:hAnsi="宋体" w:cs="宋体"/>
                <w:color w:val="FF0000"/>
                <w:szCs w:val="21"/>
                <w:highlight w:val="yellow"/>
              </w:rPr>
              <w:t>2</w:t>
            </w:r>
          </w:p>
        </w:tc>
      </w:tr>
    </w:tbl>
    <w:p w14:paraId="3975DC43">
      <w:pPr>
        <w:pStyle w:val="8"/>
        <w:spacing w:line="360" w:lineRule="auto"/>
        <w:jc w:val="left"/>
        <w:rPr>
          <w:rFonts w:hint="eastAsia" w:asciiTheme="majorEastAsia" w:hAnsiTheme="majorEastAsia" w:eastAsiaTheme="majorEastAsia" w:cstheme="majorEastAsia"/>
          <w:color w:val="auto"/>
          <w:sz w:val="24"/>
          <w:highlight w:val="none"/>
        </w:rPr>
      </w:pPr>
    </w:p>
    <w:p w14:paraId="36082497">
      <w:pPr>
        <w:pStyle w:val="8"/>
        <w:spacing w:line="360" w:lineRule="auto"/>
        <w:jc w:val="left"/>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（三）价格分的计算：</w:t>
      </w:r>
    </w:p>
    <w:p w14:paraId="447A3844">
      <w:pPr>
        <w:pStyle w:val="8"/>
        <w:spacing w:line="360" w:lineRule="auto"/>
        <w:ind w:firstLine="488" w:firstLineChars="200"/>
        <w:jc w:val="left"/>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248EA142">
      <w:pPr>
        <w:pStyle w:val="8"/>
        <w:spacing w:line="360" w:lineRule="auto"/>
        <w:ind w:firstLine="488" w:firstLineChars="200"/>
        <w:jc w:val="left"/>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2、价格分采用低价优先法计算，即满足采购文件要求的前提下，最低有效投标报价作为评标基准价，其价格分为满分。其余投标人价格分统一按照下列公式计算：</w:t>
      </w:r>
    </w:p>
    <w:p w14:paraId="2FEA7C5E">
      <w:pPr>
        <w:pStyle w:val="8"/>
        <w:spacing w:line="360" w:lineRule="auto"/>
        <w:ind w:firstLine="488" w:firstLineChars="200"/>
        <w:jc w:val="left"/>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投标报价得分＝（评标基准价／投标报价）×价格权值×100</w:t>
      </w:r>
    </w:p>
    <w:p w14:paraId="6E37F222">
      <w:pPr>
        <w:pStyle w:val="8"/>
        <w:spacing w:line="360" w:lineRule="auto"/>
        <w:ind w:firstLine="488" w:firstLineChars="200"/>
        <w:jc w:val="left"/>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3、评标过程中，不得去掉报价中的最高报价和最低报价。</w:t>
      </w:r>
    </w:p>
    <w:p w14:paraId="3B49DAE3">
      <w:pPr>
        <w:pStyle w:val="8"/>
        <w:spacing w:line="360" w:lineRule="auto"/>
        <w:ind w:firstLine="488" w:firstLineChars="200"/>
        <w:jc w:val="left"/>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4、因落实政府采购政策进行价格调整的，以调整后的价格计算评标基准价和投标报价，政府采购政策如下：</w:t>
      </w:r>
    </w:p>
    <w:p w14:paraId="243BE274">
      <w:pPr>
        <w:pStyle w:val="8"/>
        <w:spacing w:line="360" w:lineRule="auto"/>
        <w:ind w:firstLine="488" w:firstLineChars="200"/>
        <w:jc w:val="left"/>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（1）中小企业价格扣除10%（含监狱企业、残疾人福利性单位）</w:t>
      </w:r>
    </w:p>
    <w:p w14:paraId="22BE5B94">
      <w:pPr>
        <w:pStyle w:val="8"/>
        <w:spacing w:line="360" w:lineRule="auto"/>
        <w:ind w:firstLine="488" w:firstLineChars="200"/>
        <w:jc w:val="left"/>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在投标供应商资格审查和符合性审查均满足采购文件的前提下，根据《政府招标促进中小企业发展暂行办法》（财库〔2020〕46 号）及相关规定，本项目是否为专门面向中小企业预留采购份额项目：</w:t>
      </w:r>
      <w:r>
        <w:rPr>
          <w:rFonts w:hint="eastAsia" w:asciiTheme="majorEastAsia" w:hAnsiTheme="majorEastAsia" w:eastAsiaTheme="majorEastAsia" w:cstheme="majorEastAsia"/>
          <w:color w:val="auto"/>
          <w:sz w:val="24"/>
          <w:highlight w:val="none"/>
          <w:lang w:val="en-US" w:eastAsia="zh-CN"/>
        </w:rPr>
        <w:t>否</w:t>
      </w:r>
      <w:r>
        <w:rPr>
          <w:rFonts w:hint="eastAsia" w:asciiTheme="majorEastAsia" w:hAnsiTheme="majorEastAsia" w:eastAsiaTheme="majorEastAsia" w:cstheme="majorEastAsia"/>
          <w:color w:val="auto"/>
          <w:sz w:val="24"/>
          <w:highlight w:val="none"/>
        </w:rPr>
        <w:t>。</w:t>
      </w:r>
    </w:p>
    <w:p w14:paraId="56E05CBF">
      <w:pPr>
        <w:pStyle w:val="8"/>
        <w:spacing w:line="360" w:lineRule="auto"/>
        <w:ind w:firstLine="488" w:firstLineChars="200"/>
        <w:jc w:val="left"/>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中小企业须提供中小企业声明函且声明函所载内容必须真实，如有虚假，将依法承担相应责任，包括取消成交资格、投标保证金不予退还等。中小企业划分标准依照工业和信息化部、国家统计局、国家发展和改革委员会、财政部联合下发的《关于印发中小企业划型标准规定的通知》（工信部联企业《2011》300 号）执行。</w:t>
      </w:r>
    </w:p>
    <w:p w14:paraId="49D169F8">
      <w:pPr>
        <w:pStyle w:val="8"/>
        <w:spacing w:line="360" w:lineRule="auto"/>
        <w:ind w:firstLine="488" w:firstLineChars="200"/>
        <w:jc w:val="left"/>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根据《关于印发中小企业划型标准规定的通知》（工信部联企业《2011》300 号）行业划型标准本项目属于：</w:t>
      </w:r>
      <w:r>
        <w:rPr>
          <w:rFonts w:hint="eastAsia" w:asciiTheme="majorEastAsia" w:hAnsiTheme="majorEastAsia" w:eastAsiaTheme="majorEastAsia" w:cstheme="majorEastAsia"/>
          <w:snapToGrid w:val="0"/>
          <w:color w:val="auto"/>
          <w:kern w:val="0"/>
          <w:sz w:val="24"/>
          <w:highlight w:val="none"/>
          <w:u w:val="single"/>
        </w:rPr>
        <w:t>软件和信息技术服务业</w:t>
      </w:r>
      <w:r>
        <w:rPr>
          <w:rFonts w:hint="eastAsia" w:asciiTheme="majorEastAsia" w:hAnsiTheme="majorEastAsia" w:eastAsiaTheme="majorEastAsia" w:cstheme="majorEastAsia"/>
          <w:color w:val="auto"/>
          <w:sz w:val="24"/>
          <w:highlight w:val="none"/>
        </w:rPr>
        <w:t>。</w:t>
      </w:r>
    </w:p>
    <w:p w14:paraId="73249873">
      <w:pPr>
        <w:pStyle w:val="8"/>
        <w:spacing w:line="360" w:lineRule="auto"/>
        <w:ind w:firstLine="488" w:firstLineChars="200"/>
        <w:jc w:val="left"/>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注：①价格扣除只针对投标报价未超过财政控制值的投标供应商有效；</w:t>
      </w:r>
    </w:p>
    <w:p w14:paraId="164051A3">
      <w:pPr>
        <w:pStyle w:val="8"/>
        <w:spacing w:line="360" w:lineRule="auto"/>
        <w:ind w:firstLine="488" w:firstLineChars="200"/>
        <w:jc w:val="left"/>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②残疾人福利性单位属于小型、微型企业的，不重复享受政策；</w:t>
      </w:r>
    </w:p>
    <w:p w14:paraId="2EFB8B3F">
      <w:pPr>
        <w:pStyle w:val="8"/>
        <w:spacing w:line="360" w:lineRule="auto"/>
        <w:ind w:firstLine="488" w:firstLineChars="200"/>
        <w:jc w:val="left"/>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③中小企业须提供中小企业声明函且声明函所载内容必须真实，如有虚假，将依法承担相应责任，包括取消中标资格、投标保证金不予退还等。中小企业划分标准依照工业和信息化部、国家统计局、国家发展和改革委员会、财政部联合下发的《关于印发中小企业划型标准规定的通知》（工信部联企业《2011》300 号）执行。</w:t>
      </w:r>
    </w:p>
    <w:p w14:paraId="14595DC8">
      <w:pPr>
        <w:pStyle w:val="8"/>
        <w:spacing w:line="360" w:lineRule="auto"/>
        <w:ind w:firstLine="488" w:firstLineChars="200"/>
        <w:jc w:val="left"/>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（2）监狱企业价格扣除</w:t>
      </w:r>
    </w:p>
    <w:p w14:paraId="5A19426C">
      <w:pPr>
        <w:pStyle w:val="8"/>
        <w:spacing w:line="360" w:lineRule="auto"/>
        <w:ind w:firstLine="488" w:firstLineChars="200"/>
        <w:jc w:val="left"/>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根据《财政部司法部关于政府采购支持监狱企业发展有关问题的通知》（财库〔2014〕68 号）及相关规定，监狱企业参加政府采购活动时，应当提供由省级以上监狱管理局、戒毒管理局（含新疆生产建设兵团）出具的属于监狱企业的证明文件。</w:t>
      </w:r>
    </w:p>
    <w:p w14:paraId="77944514">
      <w:pPr>
        <w:pStyle w:val="8"/>
        <w:spacing w:line="360" w:lineRule="auto"/>
        <w:ind w:firstLine="488" w:firstLineChars="200"/>
        <w:jc w:val="left"/>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（3）残疾人福利性单位价格扣除</w:t>
      </w:r>
    </w:p>
    <w:p w14:paraId="264FCC1E">
      <w:pPr>
        <w:pStyle w:val="8"/>
        <w:spacing w:line="360" w:lineRule="auto"/>
        <w:ind w:firstLine="488" w:firstLineChars="200"/>
        <w:jc w:val="left"/>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根据《三部门联合发布关于促进残疾人就业政府采购政策的通知》（财库〔2017〕141 号）及相关规定，符合条件的残疾人福利性单位在参加政府采购活动时，应当提供《残疾人福利性单位声明函》，并对声明的真实性负责。</w:t>
      </w:r>
    </w:p>
    <w:p w14:paraId="1CC96E7A">
      <w:pPr>
        <w:pStyle w:val="8"/>
        <w:spacing w:line="360" w:lineRule="auto"/>
        <w:ind w:firstLine="488" w:firstLineChars="200"/>
        <w:jc w:val="left"/>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4、货物项目的价格分值占总分值的比重不得低于 30%；服务项目的价格分值占总分值的比重不得低于 10%。执行国家统一定价标准和采用固定价格采购的项目，其价格不列为评审因素。</w:t>
      </w:r>
    </w:p>
    <w:p w14:paraId="1519E529">
      <w:pPr>
        <w:pStyle w:val="8"/>
        <w:spacing w:line="360" w:lineRule="auto"/>
        <w:ind w:firstLine="488" w:firstLineChars="200"/>
        <w:jc w:val="left"/>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（四）评标总得分计算方法：</w:t>
      </w:r>
    </w:p>
    <w:p w14:paraId="7A662BA3">
      <w:pPr>
        <w:pStyle w:val="8"/>
        <w:spacing w:line="360" w:lineRule="auto"/>
        <w:ind w:firstLine="488" w:firstLineChars="200"/>
        <w:jc w:val="left"/>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评标总得分＝F1×A1＋F2×A2＋……＋Fn×An</w:t>
      </w:r>
    </w:p>
    <w:p w14:paraId="06CB16C0">
      <w:pPr>
        <w:pStyle w:val="8"/>
        <w:spacing w:line="360" w:lineRule="auto"/>
        <w:ind w:firstLine="488" w:firstLineChars="200"/>
        <w:jc w:val="left"/>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F1、F2……Fn 分别为各项评审因素的得分；</w:t>
      </w:r>
    </w:p>
    <w:p w14:paraId="3B998BD9">
      <w:pPr>
        <w:pStyle w:val="8"/>
        <w:spacing w:line="360" w:lineRule="auto"/>
        <w:ind w:firstLine="488" w:firstLineChars="200"/>
        <w:jc w:val="left"/>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A1、A2、……An 分别为各项评审因素所占的权重(A1＋A2＋……＋An＝1)。</w:t>
      </w:r>
    </w:p>
    <w:p w14:paraId="236AAB27">
      <w:pPr>
        <w:pStyle w:val="8"/>
        <w:spacing w:line="360" w:lineRule="auto"/>
        <w:ind w:firstLine="488" w:firstLineChars="200"/>
        <w:jc w:val="left"/>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n 为专家人数；</w:t>
      </w:r>
    </w:p>
    <w:p w14:paraId="266409E6">
      <w:pPr>
        <w:pStyle w:val="8"/>
        <w:spacing w:line="360" w:lineRule="auto"/>
        <w:ind w:firstLine="488" w:firstLineChars="200"/>
        <w:jc w:val="left"/>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注：以上打分计算最终得分保留小数两位。</w:t>
      </w:r>
    </w:p>
    <w:p w14:paraId="4FAB3CAD">
      <w:pPr>
        <w:pStyle w:val="8"/>
        <w:spacing w:line="360" w:lineRule="auto"/>
        <w:ind w:firstLine="488" w:firstLineChars="200"/>
        <w:jc w:val="left"/>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（五）排序原则</w:t>
      </w:r>
    </w:p>
    <w:p w14:paraId="1CC8236C">
      <w:pPr>
        <w:pStyle w:val="8"/>
        <w:spacing w:line="360" w:lineRule="auto"/>
        <w:ind w:firstLine="488" w:firstLineChars="200"/>
        <w:jc w:val="left"/>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采用综合评分法的，评标结果按评审后得分由高到低顺序排列，推荐三名中标候选人。得分相同的，按投标报价由低到高顺序排列；得分且投标报价相同的并列。投标文件满足采购文件全部实质性要求，且按照评审因素的量化指标评审得分最高的投标人为排名第一的中标候选人。</w:t>
      </w:r>
    </w:p>
    <w:p w14:paraId="32332BB6">
      <w:pPr>
        <w:pStyle w:val="8"/>
        <w:spacing w:line="360" w:lineRule="auto"/>
        <w:ind w:firstLine="488" w:firstLineChars="200"/>
        <w:jc w:val="left"/>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（六）本评标办法的解释权为采购人和采购代理机构。</w:t>
      </w:r>
    </w:p>
    <w:p w14:paraId="29F2EC35">
      <w:pPr>
        <w:pStyle w:val="8"/>
        <w:spacing w:line="360" w:lineRule="auto"/>
        <w:ind w:firstLine="488" w:firstLineChars="200"/>
        <w:jc w:val="left"/>
        <w:rPr>
          <w:rFonts w:asciiTheme="majorEastAsia" w:hAnsiTheme="majorEastAsia" w:eastAsiaTheme="majorEastAsia" w:cstheme="majorEastAsia"/>
          <w:color w:val="auto"/>
          <w:sz w:val="24"/>
          <w:highlight w:val="none"/>
        </w:rPr>
      </w:pPr>
    </w:p>
    <w:p w14:paraId="58010C63">
      <w:pPr>
        <w:pStyle w:val="8"/>
        <w:spacing w:line="360" w:lineRule="auto"/>
        <w:ind w:firstLine="488" w:firstLineChars="200"/>
        <w:jc w:val="left"/>
        <w:rPr>
          <w:rFonts w:asciiTheme="majorEastAsia" w:hAnsiTheme="majorEastAsia" w:eastAsiaTheme="majorEastAsia" w:cstheme="majorEastAsia"/>
          <w:color w:val="auto"/>
          <w:sz w:val="24"/>
          <w:highlight w:val="none"/>
        </w:rPr>
      </w:pPr>
    </w:p>
    <w:p w14:paraId="76363A85">
      <w:pPr>
        <w:pStyle w:val="8"/>
        <w:spacing w:line="360" w:lineRule="auto"/>
        <w:ind w:firstLine="488" w:firstLineChars="200"/>
        <w:jc w:val="left"/>
        <w:rPr>
          <w:rFonts w:asciiTheme="majorEastAsia" w:hAnsiTheme="majorEastAsia" w:eastAsiaTheme="majorEastAsia" w:cstheme="majorEastAsia"/>
          <w:color w:val="auto"/>
          <w:sz w:val="24"/>
          <w:highlight w:val="none"/>
        </w:rPr>
      </w:pPr>
    </w:p>
    <w:p w14:paraId="29C8F5F5">
      <w:pPr>
        <w:pStyle w:val="8"/>
        <w:spacing w:line="360" w:lineRule="auto"/>
        <w:ind w:firstLine="488" w:firstLineChars="200"/>
        <w:jc w:val="left"/>
        <w:rPr>
          <w:rFonts w:asciiTheme="majorEastAsia" w:hAnsiTheme="majorEastAsia" w:eastAsiaTheme="majorEastAsia" w:cstheme="majorEastAsia"/>
          <w:color w:val="auto"/>
          <w:sz w:val="24"/>
          <w:highlight w:val="none"/>
        </w:rPr>
      </w:pPr>
    </w:p>
    <w:p w14:paraId="08B3D409">
      <w:pPr>
        <w:pStyle w:val="8"/>
        <w:spacing w:line="360" w:lineRule="auto"/>
        <w:ind w:firstLine="488" w:firstLineChars="200"/>
        <w:jc w:val="left"/>
        <w:rPr>
          <w:rFonts w:asciiTheme="majorEastAsia" w:hAnsiTheme="majorEastAsia" w:eastAsiaTheme="majorEastAsia" w:cstheme="majorEastAsia"/>
          <w:color w:val="auto"/>
          <w:sz w:val="24"/>
          <w:highlight w:val="none"/>
        </w:rPr>
      </w:pPr>
    </w:p>
    <w:p w14:paraId="70C7BCBC">
      <w:pPr>
        <w:pStyle w:val="8"/>
        <w:spacing w:line="360" w:lineRule="auto"/>
        <w:ind w:firstLine="488" w:firstLineChars="200"/>
        <w:jc w:val="left"/>
        <w:rPr>
          <w:rFonts w:asciiTheme="majorEastAsia" w:hAnsiTheme="majorEastAsia" w:eastAsiaTheme="majorEastAsia" w:cstheme="majorEastAsia"/>
          <w:color w:val="auto"/>
          <w:sz w:val="24"/>
          <w:highlight w:val="none"/>
        </w:rPr>
      </w:pPr>
    </w:p>
    <w:p w14:paraId="375FBD4E">
      <w:pPr>
        <w:pStyle w:val="8"/>
        <w:spacing w:line="360" w:lineRule="auto"/>
        <w:ind w:firstLine="488" w:firstLineChars="200"/>
        <w:jc w:val="left"/>
        <w:rPr>
          <w:rFonts w:hint="eastAsia" w:asciiTheme="majorEastAsia" w:hAnsiTheme="majorEastAsia" w:eastAsiaTheme="majorEastAsia" w:cstheme="majorEastAsia"/>
          <w:color w:val="auto"/>
          <w:sz w:val="24"/>
          <w:highlight w:val="none"/>
        </w:rPr>
      </w:pPr>
    </w:p>
    <w:p w14:paraId="1089AED3">
      <w:pPr>
        <w:pStyle w:val="8"/>
        <w:spacing w:line="360" w:lineRule="auto"/>
        <w:ind w:firstLine="488" w:firstLineChars="200"/>
        <w:jc w:val="left"/>
        <w:rPr>
          <w:rFonts w:hint="eastAsia" w:asciiTheme="majorEastAsia" w:hAnsiTheme="majorEastAsia" w:eastAsiaTheme="majorEastAsia" w:cstheme="majorEastAsia"/>
          <w:color w:val="auto"/>
          <w:sz w:val="24"/>
          <w:highlight w:val="none"/>
        </w:rPr>
      </w:pPr>
    </w:p>
    <w:p w14:paraId="6CF7DD50">
      <w:pPr>
        <w:pStyle w:val="8"/>
        <w:spacing w:line="360" w:lineRule="auto"/>
        <w:ind w:firstLine="488" w:firstLineChars="200"/>
        <w:jc w:val="left"/>
        <w:rPr>
          <w:rFonts w:hint="eastAsia" w:asciiTheme="majorEastAsia" w:hAnsiTheme="majorEastAsia" w:eastAsiaTheme="majorEastAsia" w:cstheme="majorEastAsia"/>
          <w:color w:val="auto"/>
          <w:sz w:val="24"/>
          <w:highlight w:val="none"/>
        </w:rPr>
      </w:pPr>
    </w:p>
    <w:p w14:paraId="47D3D1E2">
      <w:pPr>
        <w:pStyle w:val="8"/>
        <w:spacing w:line="360" w:lineRule="auto"/>
        <w:ind w:firstLine="488" w:firstLineChars="200"/>
        <w:jc w:val="left"/>
        <w:rPr>
          <w:rFonts w:hint="eastAsia" w:asciiTheme="majorEastAsia" w:hAnsiTheme="majorEastAsia" w:eastAsiaTheme="majorEastAsia" w:cstheme="majorEastAsia"/>
          <w:color w:val="auto"/>
          <w:sz w:val="24"/>
          <w:highlight w:val="none"/>
        </w:rPr>
      </w:pPr>
    </w:p>
    <w:p w14:paraId="0023F301">
      <w:pPr>
        <w:pStyle w:val="8"/>
        <w:spacing w:line="360" w:lineRule="auto"/>
        <w:jc w:val="left"/>
        <w:rPr>
          <w:rFonts w:hint="eastAsia" w:asciiTheme="majorEastAsia" w:hAnsiTheme="majorEastAsia" w:eastAsiaTheme="majorEastAsia" w:cstheme="majorEastAsia"/>
          <w:color w:val="auto"/>
          <w:sz w:val="24"/>
          <w:highlight w:val="none"/>
        </w:rPr>
      </w:pPr>
    </w:p>
    <w:p w14:paraId="3DF0C1C9">
      <w:pPr>
        <w:pStyle w:val="8"/>
        <w:numPr>
          <w:ilvl w:val="0"/>
          <w:numId w:val="3"/>
        </w:numPr>
        <w:spacing w:line="360" w:lineRule="auto"/>
        <w:ind w:firstLine="648" w:firstLineChars="200"/>
        <w:jc w:val="center"/>
        <w:rPr>
          <w:rFonts w:hint="eastAsia" w:asciiTheme="majorEastAsia" w:hAnsiTheme="majorEastAsia" w:eastAsiaTheme="majorEastAsia" w:cstheme="majorEastAsia"/>
          <w:color w:val="auto"/>
          <w:sz w:val="32"/>
          <w:highlight w:val="none"/>
        </w:rPr>
      </w:pPr>
      <w:r>
        <w:rPr>
          <w:rFonts w:hint="eastAsia" w:asciiTheme="majorEastAsia" w:hAnsiTheme="majorEastAsia" w:eastAsiaTheme="majorEastAsia" w:cstheme="majorEastAsia"/>
          <w:color w:val="auto"/>
          <w:sz w:val="32"/>
          <w:highlight w:val="none"/>
        </w:rPr>
        <w:t xml:space="preserve"> 采购需求</w:t>
      </w:r>
      <w:bookmarkStart w:id="0" w:name="_Toc24647"/>
    </w:p>
    <w:p w14:paraId="445CEE7C">
      <w:pPr>
        <w:pStyle w:val="8"/>
        <w:numPr>
          <w:ilvl w:val="0"/>
          <w:numId w:val="4"/>
        </w:numPr>
        <w:spacing w:after="0"/>
        <w:jc w:val="center"/>
        <w:rPr>
          <w:rFonts w:ascii="仿宋" w:hAnsi="仿宋" w:eastAsia="仿宋" w:cs="仿宋"/>
          <w:kern w:val="0"/>
          <w:sz w:val="28"/>
          <w:szCs w:val="28"/>
        </w:rPr>
      </w:pPr>
      <w:r>
        <w:rPr>
          <w:rFonts w:hint="eastAsia"/>
          <w:sz w:val="32"/>
        </w:rPr>
        <w:t>服务内容</w:t>
      </w:r>
    </w:p>
    <w:p w14:paraId="76ED8A25">
      <w:pPr>
        <w:pStyle w:val="8"/>
        <w:spacing w:after="0"/>
        <w:jc w:val="center"/>
        <w:rPr>
          <w:sz w:val="32"/>
        </w:rPr>
      </w:pPr>
    </w:p>
    <w:tbl>
      <w:tblPr>
        <w:tblStyle w:val="20"/>
        <w:tblW w:w="0" w:type="auto"/>
        <w:tblInd w:w="0" w:type="dxa"/>
        <w:tblLayout w:type="autofit"/>
        <w:tblCellMar>
          <w:top w:w="0" w:type="dxa"/>
          <w:left w:w="108" w:type="dxa"/>
          <w:bottom w:w="0" w:type="dxa"/>
          <w:right w:w="108" w:type="dxa"/>
        </w:tblCellMar>
      </w:tblPr>
      <w:tblGrid>
        <w:gridCol w:w="754"/>
        <w:gridCol w:w="1721"/>
        <w:gridCol w:w="4689"/>
        <w:gridCol w:w="755"/>
        <w:gridCol w:w="755"/>
        <w:gridCol w:w="755"/>
      </w:tblGrid>
      <w:tr w14:paraId="0998D1B9">
        <w:tblPrEx>
          <w:tblCellMar>
            <w:top w:w="0" w:type="dxa"/>
            <w:left w:w="108" w:type="dxa"/>
            <w:bottom w:w="0" w:type="dxa"/>
            <w:right w:w="108" w:type="dxa"/>
          </w:tblCellMar>
        </w:tblPrEx>
        <w:trPr>
          <w:trHeight w:val="450" w:hRule="atLeast"/>
        </w:trPr>
        <w:tc>
          <w:tcPr>
            <w:tcW w:w="729" w:type="dxa"/>
            <w:tcBorders>
              <w:top w:val="single" w:color="auto" w:sz="4" w:space="0"/>
              <w:left w:val="single" w:color="auto" w:sz="4" w:space="0"/>
              <w:bottom w:val="single" w:color="auto" w:sz="4" w:space="0"/>
              <w:right w:val="single" w:color="auto" w:sz="4" w:space="0"/>
            </w:tcBorders>
            <w:shd w:val="clear" w:color="000000" w:fill="DDEBF7"/>
            <w:noWrap/>
            <w:vAlign w:val="center"/>
          </w:tcPr>
          <w:p w14:paraId="2D67E7BA">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序号</w:t>
            </w:r>
          </w:p>
        </w:tc>
        <w:tc>
          <w:tcPr>
            <w:tcW w:w="1789" w:type="dxa"/>
            <w:tcBorders>
              <w:top w:val="single" w:color="auto" w:sz="4" w:space="0"/>
              <w:left w:val="nil"/>
              <w:bottom w:val="single" w:color="auto" w:sz="4" w:space="0"/>
              <w:right w:val="single" w:color="auto" w:sz="4" w:space="0"/>
            </w:tcBorders>
            <w:shd w:val="clear" w:color="000000" w:fill="DDEBF7"/>
            <w:noWrap/>
            <w:vAlign w:val="center"/>
          </w:tcPr>
          <w:p w14:paraId="0631A802">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建设内容</w:t>
            </w:r>
          </w:p>
        </w:tc>
        <w:tc>
          <w:tcPr>
            <w:tcW w:w="4891" w:type="dxa"/>
            <w:tcBorders>
              <w:top w:val="single" w:color="auto" w:sz="4" w:space="0"/>
              <w:left w:val="nil"/>
              <w:bottom w:val="single" w:color="auto" w:sz="4" w:space="0"/>
              <w:right w:val="single" w:color="auto" w:sz="4" w:space="0"/>
            </w:tcBorders>
            <w:shd w:val="clear" w:color="000000" w:fill="DDEBF7"/>
            <w:noWrap/>
            <w:vAlign w:val="center"/>
          </w:tcPr>
          <w:p w14:paraId="3A071B9C">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说明</w:t>
            </w:r>
          </w:p>
        </w:tc>
        <w:tc>
          <w:tcPr>
            <w:tcW w:w="0" w:type="auto"/>
            <w:tcBorders>
              <w:top w:val="single" w:color="auto" w:sz="4" w:space="0"/>
              <w:left w:val="nil"/>
              <w:bottom w:val="single" w:color="auto" w:sz="4" w:space="0"/>
              <w:right w:val="single" w:color="auto" w:sz="4" w:space="0"/>
            </w:tcBorders>
            <w:shd w:val="clear" w:color="000000" w:fill="DDEBF7"/>
            <w:noWrap/>
            <w:vAlign w:val="center"/>
          </w:tcPr>
          <w:p w14:paraId="3DBB0311">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数量</w:t>
            </w:r>
          </w:p>
        </w:tc>
        <w:tc>
          <w:tcPr>
            <w:tcW w:w="0" w:type="auto"/>
            <w:tcBorders>
              <w:top w:val="single" w:color="auto" w:sz="4" w:space="0"/>
              <w:left w:val="nil"/>
              <w:bottom w:val="single" w:color="auto" w:sz="4" w:space="0"/>
              <w:right w:val="single" w:color="auto" w:sz="4" w:space="0"/>
            </w:tcBorders>
            <w:shd w:val="clear" w:color="000000" w:fill="DDEBF7"/>
            <w:noWrap/>
            <w:vAlign w:val="center"/>
          </w:tcPr>
          <w:p w14:paraId="4A718362">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单位</w:t>
            </w:r>
          </w:p>
        </w:tc>
        <w:tc>
          <w:tcPr>
            <w:tcW w:w="0" w:type="auto"/>
            <w:tcBorders>
              <w:top w:val="single" w:color="auto" w:sz="4" w:space="0"/>
              <w:left w:val="nil"/>
              <w:bottom w:val="single" w:color="auto" w:sz="4" w:space="0"/>
              <w:right w:val="single" w:color="auto" w:sz="4" w:space="0"/>
            </w:tcBorders>
            <w:shd w:val="clear" w:color="000000" w:fill="DDEBF7"/>
            <w:noWrap/>
            <w:vAlign w:val="center"/>
          </w:tcPr>
          <w:p w14:paraId="7FCA2921">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备注</w:t>
            </w:r>
          </w:p>
        </w:tc>
      </w:tr>
      <w:tr w14:paraId="0374AC8A">
        <w:tblPrEx>
          <w:tblCellMar>
            <w:top w:w="0" w:type="dxa"/>
            <w:left w:w="108" w:type="dxa"/>
            <w:bottom w:w="0" w:type="dxa"/>
            <w:right w:w="108" w:type="dxa"/>
          </w:tblCellMar>
        </w:tblPrEx>
        <w:trPr>
          <w:trHeight w:val="499" w:hRule="atLeast"/>
        </w:trPr>
        <w:tc>
          <w:tcPr>
            <w:tcW w:w="729" w:type="dxa"/>
            <w:tcBorders>
              <w:top w:val="nil"/>
              <w:left w:val="single" w:color="auto" w:sz="4" w:space="0"/>
              <w:bottom w:val="single" w:color="auto" w:sz="4" w:space="0"/>
              <w:right w:val="single" w:color="auto" w:sz="4" w:space="0"/>
            </w:tcBorders>
            <w:shd w:val="clear" w:color="auto" w:fill="auto"/>
            <w:noWrap/>
            <w:vAlign w:val="center"/>
          </w:tcPr>
          <w:p w14:paraId="46B26E10">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一、</w:t>
            </w:r>
          </w:p>
        </w:tc>
        <w:tc>
          <w:tcPr>
            <w:tcW w:w="8699" w:type="dxa"/>
            <w:gridSpan w:val="5"/>
            <w:tcBorders>
              <w:top w:val="single" w:color="auto" w:sz="4" w:space="0"/>
              <w:left w:val="nil"/>
              <w:bottom w:val="single" w:color="auto" w:sz="4" w:space="0"/>
              <w:right w:val="single" w:color="000000" w:sz="4" w:space="0"/>
            </w:tcBorders>
            <w:shd w:val="clear" w:color="auto" w:fill="auto"/>
            <w:noWrap/>
            <w:vAlign w:val="center"/>
          </w:tcPr>
          <w:p w14:paraId="46353D12">
            <w:pPr>
              <w:widowControl/>
              <w:jc w:val="left"/>
              <w:rPr>
                <w:rFonts w:ascii="宋体" w:hAnsi="宋体" w:cs="宋体"/>
                <w:b/>
                <w:bCs/>
                <w:color w:val="000000"/>
                <w:kern w:val="0"/>
                <w:sz w:val="28"/>
                <w:szCs w:val="28"/>
              </w:rPr>
            </w:pPr>
            <w:r>
              <w:rPr>
                <w:rFonts w:hint="eastAsia" w:ascii="宋体" w:hAnsi="宋体" w:cs="宋体"/>
                <w:b/>
                <w:bCs/>
                <w:color w:val="000000"/>
                <w:kern w:val="0"/>
                <w:sz w:val="28"/>
                <w:szCs w:val="28"/>
              </w:rPr>
              <w:t>应用支撑平台</w:t>
            </w:r>
          </w:p>
        </w:tc>
      </w:tr>
      <w:tr w14:paraId="46C24870">
        <w:tblPrEx>
          <w:tblCellMar>
            <w:top w:w="0" w:type="dxa"/>
            <w:left w:w="108" w:type="dxa"/>
            <w:bottom w:w="0" w:type="dxa"/>
            <w:right w:w="108" w:type="dxa"/>
          </w:tblCellMar>
        </w:tblPrEx>
        <w:trPr>
          <w:trHeight w:val="645" w:hRule="atLeast"/>
        </w:trPr>
        <w:tc>
          <w:tcPr>
            <w:tcW w:w="729" w:type="dxa"/>
            <w:tcBorders>
              <w:top w:val="nil"/>
              <w:left w:val="single" w:color="auto" w:sz="4" w:space="0"/>
              <w:bottom w:val="single" w:color="auto" w:sz="4" w:space="0"/>
              <w:right w:val="single" w:color="auto" w:sz="4" w:space="0"/>
            </w:tcBorders>
            <w:shd w:val="clear" w:color="auto" w:fill="auto"/>
            <w:noWrap/>
            <w:vAlign w:val="center"/>
          </w:tcPr>
          <w:p w14:paraId="2E0BEB2C">
            <w:pPr>
              <w:widowControl/>
              <w:jc w:val="center"/>
              <w:rPr>
                <w:rFonts w:ascii="宋体" w:hAnsi="宋体" w:cs="宋体"/>
                <w:color w:val="000000"/>
                <w:kern w:val="0"/>
                <w:sz w:val="28"/>
                <w:szCs w:val="28"/>
              </w:rPr>
            </w:pPr>
            <w:r>
              <w:rPr>
                <w:rFonts w:hint="eastAsia" w:ascii="宋体" w:hAnsi="宋体" w:cs="宋体"/>
                <w:color w:val="000000"/>
                <w:kern w:val="0"/>
                <w:sz w:val="28"/>
                <w:szCs w:val="28"/>
              </w:rPr>
              <w:t>1</w:t>
            </w:r>
          </w:p>
        </w:tc>
        <w:tc>
          <w:tcPr>
            <w:tcW w:w="1789" w:type="dxa"/>
            <w:tcBorders>
              <w:top w:val="nil"/>
              <w:left w:val="nil"/>
              <w:bottom w:val="single" w:color="auto" w:sz="4" w:space="0"/>
              <w:right w:val="single" w:color="auto" w:sz="4" w:space="0"/>
            </w:tcBorders>
            <w:shd w:val="clear" w:color="auto" w:fill="auto"/>
            <w:noWrap/>
            <w:vAlign w:val="center"/>
          </w:tcPr>
          <w:p w14:paraId="1A49C3F0">
            <w:pPr>
              <w:widowControl/>
              <w:jc w:val="center"/>
              <w:rPr>
                <w:rFonts w:ascii="宋体" w:hAnsi="宋体" w:cs="宋体"/>
                <w:color w:val="000000"/>
                <w:kern w:val="0"/>
                <w:sz w:val="28"/>
                <w:szCs w:val="28"/>
              </w:rPr>
            </w:pPr>
            <w:r>
              <w:rPr>
                <w:rFonts w:hint="eastAsia" w:ascii="宋体" w:hAnsi="宋体" w:cs="宋体"/>
                <w:color w:val="000000"/>
                <w:kern w:val="0"/>
                <w:sz w:val="28"/>
                <w:szCs w:val="28"/>
              </w:rPr>
              <w:t>基础支撑能力</w:t>
            </w:r>
          </w:p>
        </w:tc>
        <w:tc>
          <w:tcPr>
            <w:tcW w:w="4891" w:type="dxa"/>
            <w:tcBorders>
              <w:top w:val="nil"/>
              <w:left w:val="nil"/>
              <w:bottom w:val="single" w:color="auto" w:sz="4" w:space="0"/>
              <w:right w:val="single" w:color="auto" w:sz="4" w:space="0"/>
            </w:tcBorders>
            <w:shd w:val="clear" w:color="auto" w:fill="auto"/>
            <w:vAlign w:val="center"/>
          </w:tcPr>
          <w:p w14:paraId="1AEE9692">
            <w:pPr>
              <w:widowControl/>
              <w:jc w:val="left"/>
              <w:rPr>
                <w:rFonts w:ascii="宋体" w:hAnsi="宋体" w:cs="宋体"/>
                <w:color w:val="000000"/>
                <w:kern w:val="0"/>
                <w:sz w:val="28"/>
                <w:szCs w:val="28"/>
              </w:rPr>
            </w:pPr>
            <w:r>
              <w:rPr>
                <w:rFonts w:hint="eastAsia" w:ascii="宋体" w:hAnsi="宋体" w:cs="宋体"/>
                <w:color w:val="000000"/>
                <w:kern w:val="0"/>
                <w:sz w:val="28"/>
                <w:szCs w:val="28"/>
              </w:rPr>
              <w:t>为平台提供基础支撑服务管理，包含统一身份认证、统一消息服务、统一文件服务、统一缓存服务、统一日志服管理等。</w:t>
            </w:r>
          </w:p>
        </w:tc>
        <w:tc>
          <w:tcPr>
            <w:tcW w:w="0" w:type="auto"/>
            <w:tcBorders>
              <w:top w:val="nil"/>
              <w:left w:val="nil"/>
              <w:bottom w:val="single" w:color="auto" w:sz="4" w:space="0"/>
              <w:right w:val="single" w:color="auto" w:sz="4" w:space="0"/>
            </w:tcBorders>
            <w:shd w:val="clear" w:color="auto" w:fill="auto"/>
            <w:noWrap/>
            <w:vAlign w:val="center"/>
          </w:tcPr>
          <w:p w14:paraId="4E132459">
            <w:pPr>
              <w:widowControl/>
              <w:jc w:val="center"/>
              <w:rPr>
                <w:rFonts w:ascii="宋体" w:hAnsi="宋体" w:cs="宋体"/>
                <w:color w:val="000000"/>
                <w:kern w:val="0"/>
                <w:sz w:val="28"/>
                <w:szCs w:val="28"/>
              </w:rPr>
            </w:pPr>
            <w:r>
              <w:rPr>
                <w:rFonts w:hint="eastAsia" w:ascii="宋体" w:hAnsi="宋体" w:cs="宋体"/>
                <w:color w:val="000000"/>
                <w:kern w:val="0"/>
                <w:sz w:val="28"/>
                <w:szCs w:val="28"/>
              </w:rPr>
              <w:t>1</w:t>
            </w:r>
          </w:p>
        </w:tc>
        <w:tc>
          <w:tcPr>
            <w:tcW w:w="0" w:type="auto"/>
            <w:tcBorders>
              <w:top w:val="nil"/>
              <w:left w:val="nil"/>
              <w:bottom w:val="single" w:color="auto" w:sz="4" w:space="0"/>
              <w:right w:val="single" w:color="auto" w:sz="4" w:space="0"/>
            </w:tcBorders>
            <w:shd w:val="clear" w:color="auto" w:fill="auto"/>
            <w:noWrap/>
            <w:vAlign w:val="center"/>
          </w:tcPr>
          <w:p w14:paraId="4F6644D8">
            <w:pPr>
              <w:widowControl/>
              <w:jc w:val="center"/>
              <w:rPr>
                <w:rFonts w:ascii="宋体" w:hAnsi="宋体" w:cs="宋体"/>
                <w:color w:val="000000"/>
                <w:kern w:val="0"/>
                <w:sz w:val="28"/>
                <w:szCs w:val="28"/>
              </w:rPr>
            </w:pPr>
            <w:r>
              <w:rPr>
                <w:rFonts w:hint="eastAsia" w:ascii="宋体" w:hAnsi="宋体" w:cs="宋体"/>
                <w:color w:val="000000"/>
                <w:kern w:val="0"/>
                <w:sz w:val="28"/>
                <w:szCs w:val="28"/>
              </w:rPr>
              <w:t>套</w:t>
            </w:r>
          </w:p>
        </w:tc>
        <w:tc>
          <w:tcPr>
            <w:tcW w:w="0" w:type="auto"/>
            <w:tcBorders>
              <w:top w:val="nil"/>
              <w:left w:val="nil"/>
              <w:bottom w:val="single" w:color="auto" w:sz="4" w:space="0"/>
              <w:right w:val="single" w:color="auto" w:sz="4" w:space="0"/>
            </w:tcBorders>
            <w:shd w:val="clear" w:color="auto" w:fill="auto"/>
            <w:noWrap/>
            <w:vAlign w:val="center"/>
          </w:tcPr>
          <w:p w14:paraId="216BFC7F">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r>
      <w:tr w14:paraId="4925EE70">
        <w:tblPrEx>
          <w:tblCellMar>
            <w:top w:w="0" w:type="dxa"/>
            <w:left w:w="108" w:type="dxa"/>
            <w:bottom w:w="0" w:type="dxa"/>
            <w:right w:w="108" w:type="dxa"/>
          </w:tblCellMar>
        </w:tblPrEx>
        <w:trPr>
          <w:trHeight w:val="540" w:hRule="atLeast"/>
        </w:trPr>
        <w:tc>
          <w:tcPr>
            <w:tcW w:w="729" w:type="dxa"/>
            <w:tcBorders>
              <w:top w:val="nil"/>
              <w:left w:val="single" w:color="auto" w:sz="4" w:space="0"/>
              <w:bottom w:val="single" w:color="auto" w:sz="4" w:space="0"/>
              <w:right w:val="single" w:color="auto" w:sz="4" w:space="0"/>
            </w:tcBorders>
            <w:shd w:val="clear" w:color="auto" w:fill="auto"/>
            <w:noWrap/>
            <w:vAlign w:val="center"/>
          </w:tcPr>
          <w:p w14:paraId="2661C249">
            <w:pPr>
              <w:widowControl/>
              <w:jc w:val="center"/>
              <w:rPr>
                <w:rFonts w:ascii="宋体" w:hAnsi="宋体" w:cs="宋体"/>
                <w:color w:val="000000"/>
                <w:kern w:val="0"/>
                <w:sz w:val="28"/>
                <w:szCs w:val="28"/>
              </w:rPr>
            </w:pPr>
            <w:r>
              <w:rPr>
                <w:rFonts w:hint="eastAsia" w:ascii="宋体" w:hAnsi="宋体" w:cs="宋体"/>
                <w:color w:val="000000"/>
                <w:kern w:val="0"/>
                <w:sz w:val="28"/>
                <w:szCs w:val="28"/>
              </w:rPr>
              <w:t>2</w:t>
            </w:r>
          </w:p>
        </w:tc>
        <w:tc>
          <w:tcPr>
            <w:tcW w:w="1789" w:type="dxa"/>
            <w:tcBorders>
              <w:top w:val="nil"/>
              <w:left w:val="nil"/>
              <w:bottom w:val="single" w:color="auto" w:sz="4" w:space="0"/>
              <w:right w:val="single" w:color="auto" w:sz="4" w:space="0"/>
            </w:tcBorders>
            <w:shd w:val="clear" w:color="auto" w:fill="auto"/>
            <w:noWrap/>
            <w:vAlign w:val="center"/>
          </w:tcPr>
          <w:p w14:paraId="0F673CF2">
            <w:pPr>
              <w:widowControl/>
              <w:jc w:val="center"/>
              <w:rPr>
                <w:rFonts w:ascii="宋体" w:hAnsi="宋体" w:cs="宋体"/>
                <w:color w:val="000000"/>
                <w:kern w:val="0"/>
                <w:sz w:val="28"/>
                <w:szCs w:val="28"/>
              </w:rPr>
            </w:pPr>
            <w:r>
              <w:rPr>
                <w:rFonts w:hint="eastAsia" w:ascii="宋体" w:hAnsi="宋体" w:cs="宋体"/>
                <w:color w:val="000000"/>
                <w:kern w:val="0"/>
                <w:sz w:val="28"/>
                <w:szCs w:val="28"/>
              </w:rPr>
              <w:t>服务引擎</w:t>
            </w:r>
          </w:p>
        </w:tc>
        <w:tc>
          <w:tcPr>
            <w:tcW w:w="4891" w:type="dxa"/>
            <w:tcBorders>
              <w:top w:val="nil"/>
              <w:left w:val="nil"/>
              <w:bottom w:val="single" w:color="auto" w:sz="4" w:space="0"/>
              <w:right w:val="single" w:color="auto" w:sz="4" w:space="0"/>
            </w:tcBorders>
            <w:shd w:val="clear" w:color="auto" w:fill="auto"/>
            <w:vAlign w:val="center"/>
          </w:tcPr>
          <w:p w14:paraId="0699BBE7">
            <w:pPr>
              <w:widowControl/>
              <w:jc w:val="left"/>
              <w:rPr>
                <w:rFonts w:ascii="宋体" w:hAnsi="宋体" w:cs="宋体"/>
                <w:color w:val="000000"/>
                <w:kern w:val="0"/>
                <w:sz w:val="28"/>
                <w:szCs w:val="28"/>
              </w:rPr>
            </w:pPr>
            <w:r>
              <w:rPr>
                <w:rFonts w:hint="eastAsia" w:ascii="宋体" w:hAnsi="宋体" w:cs="宋体"/>
                <w:color w:val="000000"/>
                <w:kern w:val="0"/>
                <w:sz w:val="28"/>
                <w:szCs w:val="28"/>
              </w:rPr>
              <w:t>为支撑平台业务应用使用提供服务引擎，包括表单引擎、流程引擎、页面引擎、组织引擎等。</w:t>
            </w:r>
          </w:p>
        </w:tc>
        <w:tc>
          <w:tcPr>
            <w:tcW w:w="0" w:type="auto"/>
            <w:tcBorders>
              <w:top w:val="nil"/>
              <w:left w:val="nil"/>
              <w:bottom w:val="single" w:color="auto" w:sz="4" w:space="0"/>
              <w:right w:val="single" w:color="auto" w:sz="4" w:space="0"/>
            </w:tcBorders>
            <w:shd w:val="clear" w:color="auto" w:fill="auto"/>
            <w:noWrap/>
            <w:vAlign w:val="center"/>
          </w:tcPr>
          <w:p w14:paraId="52CA31EF">
            <w:pPr>
              <w:widowControl/>
              <w:jc w:val="center"/>
              <w:rPr>
                <w:rFonts w:ascii="宋体" w:hAnsi="宋体" w:cs="宋体"/>
                <w:color w:val="000000"/>
                <w:kern w:val="0"/>
                <w:sz w:val="28"/>
                <w:szCs w:val="28"/>
              </w:rPr>
            </w:pPr>
            <w:r>
              <w:rPr>
                <w:rFonts w:hint="eastAsia" w:ascii="宋体" w:hAnsi="宋体" w:cs="宋体"/>
                <w:color w:val="000000"/>
                <w:kern w:val="0"/>
                <w:sz w:val="28"/>
                <w:szCs w:val="28"/>
              </w:rPr>
              <w:t>1</w:t>
            </w:r>
          </w:p>
        </w:tc>
        <w:tc>
          <w:tcPr>
            <w:tcW w:w="0" w:type="auto"/>
            <w:tcBorders>
              <w:top w:val="nil"/>
              <w:left w:val="nil"/>
              <w:bottom w:val="single" w:color="auto" w:sz="4" w:space="0"/>
              <w:right w:val="single" w:color="auto" w:sz="4" w:space="0"/>
            </w:tcBorders>
            <w:shd w:val="clear" w:color="auto" w:fill="auto"/>
            <w:noWrap/>
            <w:vAlign w:val="center"/>
          </w:tcPr>
          <w:p w14:paraId="31EA6D53">
            <w:pPr>
              <w:widowControl/>
              <w:jc w:val="center"/>
              <w:rPr>
                <w:rFonts w:ascii="宋体" w:hAnsi="宋体" w:cs="宋体"/>
                <w:color w:val="000000"/>
                <w:kern w:val="0"/>
                <w:sz w:val="28"/>
                <w:szCs w:val="28"/>
              </w:rPr>
            </w:pPr>
            <w:r>
              <w:rPr>
                <w:rFonts w:hint="eastAsia" w:ascii="宋体" w:hAnsi="宋体" w:cs="宋体"/>
                <w:color w:val="000000"/>
                <w:kern w:val="0"/>
                <w:sz w:val="28"/>
                <w:szCs w:val="28"/>
              </w:rPr>
              <w:t>套</w:t>
            </w:r>
          </w:p>
        </w:tc>
        <w:tc>
          <w:tcPr>
            <w:tcW w:w="0" w:type="auto"/>
            <w:tcBorders>
              <w:top w:val="nil"/>
              <w:left w:val="nil"/>
              <w:bottom w:val="single" w:color="auto" w:sz="4" w:space="0"/>
              <w:right w:val="single" w:color="auto" w:sz="4" w:space="0"/>
            </w:tcBorders>
            <w:shd w:val="clear" w:color="auto" w:fill="auto"/>
            <w:noWrap/>
            <w:vAlign w:val="center"/>
          </w:tcPr>
          <w:p w14:paraId="0970D848">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r>
      <w:tr w14:paraId="2DF97914">
        <w:tblPrEx>
          <w:tblCellMar>
            <w:top w:w="0" w:type="dxa"/>
            <w:left w:w="108" w:type="dxa"/>
            <w:bottom w:w="0" w:type="dxa"/>
            <w:right w:w="108" w:type="dxa"/>
          </w:tblCellMar>
        </w:tblPrEx>
        <w:trPr>
          <w:trHeight w:val="540" w:hRule="atLeast"/>
        </w:trPr>
        <w:tc>
          <w:tcPr>
            <w:tcW w:w="729" w:type="dxa"/>
            <w:tcBorders>
              <w:top w:val="nil"/>
              <w:left w:val="single" w:color="auto" w:sz="4" w:space="0"/>
              <w:bottom w:val="single" w:color="auto" w:sz="4" w:space="0"/>
              <w:right w:val="single" w:color="auto" w:sz="4" w:space="0"/>
            </w:tcBorders>
            <w:shd w:val="clear" w:color="auto" w:fill="auto"/>
            <w:noWrap/>
            <w:vAlign w:val="center"/>
          </w:tcPr>
          <w:p w14:paraId="4F3925F0">
            <w:pPr>
              <w:widowControl/>
              <w:jc w:val="center"/>
              <w:rPr>
                <w:rFonts w:ascii="宋体" w:hAnsi="宋体" w:cs="宋体"/>
                <w:color w:val="000000"/>
                <w:kern w:val="0"/>
                <w:sz w:val="28"/>
                <w:szCs w:val="28"/>
              </w:rPr>
            </w:pPr>
            <w:r>
              <w:rPr>
                <w:rFonts w:hint="eastAsia" w:ascii="宋体" w:hAnsi="宋体" w:cs="宋体"/>
                <w:color w:val="000000"/>
                <w:kern w:val="0"/>
                <w:sz w:val="28"/>
                <w:szCs w:val="28"/>
              </w:rPr>
              <w:t>3</w:t>
            </w:r>
          </w:p>
        </w:tc>
        <w:tc>
          <w:tcPr>
            <w:tcW w:w="1789" w:type="dxa"/>
            <w:tcBorders>
              <w:top w:val="nil"/>
              <w:left w:val="nil"/>
              <w:bottom w:val="single" w:color="auto" w:sz="4" w:space="0"/>
              <w:right w:val="single" w:color="auto" w:sz="4" w:space="0"/>
            </w:tcBorders>
            <w:shd w:val="clear" w:color="auto" w:fill="auto"/>
            <w:noWrap/>
            <w:vAlign w:val="center"/>
          </w:tcPr>
          <w:p w14:paraId="5E714D90">
            <w:pPr>
              <w:widowControl/>
              <w:jc w:val="center"/>
              <w:rPr>
                <w:rFonts w:ascii="宋体" w:hAnsi="宋体" w:cs="宋体"/>
                <w:color w:val="000000"/>
                <w:kern w:val="0"/>
                <w:sz w:val="28"/>
                <w:szCs w:val="28"/>
              </w:rPr>
            </w:pPr>
            <w:r>
              <w:rPr>
                <w:rFonts w:hint="eastAsia" w:ascii="宋体" w:hAnsi="宋体" w:cs="宋体"/>
                <w:color w:val="000000"/>
                <w:kern w:val="0"/>
                <w:sz w:val="28"/>
                <w:szCs w:val="28"/>
              </w:rPr>
              <w:t>业务服务引擎</w:t>
            </w:r>
          </w:p>
        </w:tc>
        <w:tc>
          <w:tcPr>
            <w:tcW w:w="4891" w:type="dxa"/>
            <w:tcBorders>
              <w:top w:val="nil"/>
              <w:left w:val="nil"/>
              <w:bottom w:val="single" w:color="auto" w:sz="4" w:space="0"/>
              <w:right w:val="single" w:color="auto" w:sz="4" w:space="0"/>
            </w:tcBorders>
            <w:shd w:val="clear" w:color="auto" w:fill="auto"/>
            <w:vAlign w:val="center"/>
          </w:tcPr>
          <w:p w14:paraId="3BB9844D">
            <w:pPr>
              <w:widowControl/>
              <w:jc w:val="left"/>
              <w:rPr>
                <w:rFonts w:ascii="宋体" w:hAnsi="宋体" w:cs="宋体"/>
                <w:color w:val="000000"/>
                <w:kern w:val="0"/>
                <w:sz w:val="28"/>
                <w:szCs w:val="28"/>
              </w:rPr>
            </w:pPr>
            <w:r>
              <w:rPr>
                <w:rFonts w:hint="eastAsia" w:ascii="宋体" w:hAnsi="宋体" w:cs="宋体"/>
                <w:color w:val="000000"/>
                <w:kern w:val="0"/>
                <w:sz w:val="28"/>
                <w:szCs w:val="28"/>
              </w:rPr>
              <w:t>业务服务支撑是罗甸县产业大脑平台连接公共基础能力与业务应用的关键枢纽，业务服务支撑涵盖项目类型管理、项目阶段管理、审批流程图配置管理。</w:t>
            </w:r>
          </w:p>
        </w:tc>
        <w:tc>
          <w:tcPr>
            <w:tcW w:w="0" w:type="auto"/>
            <w:tcBorders>
              <w:top w:val="nil"/>
              <w:left w:val="nil"/>
              <w:bottom w:val="single" w:color="auto" w:sz="4" w:space="0"/>
              <w:right w:val="single" w:color="auto" w:sz="4" w:space="0"/>
            </w:tcBorders>
            <w:shd w:val="clear" w:color="auto" w:fill="auto"/>
            <w:noWrap/>
            <w:vAlign w:val="center"/>
          </w:tcPr>
          <w:p w14:paraId="57154288">
            <w:pPr>
              <w:widowControl/>
              <w:jc w:val="center"/>
              <w:rPr>
                <w:rFonts w:ascii="宋体" w:hAnsi="宋体" w:cs="宋体"/>
                <w:color w:val="000000"/>
                <w:kern w:val="0"/>
                <w:sz w:val="28"/>
                <w:szCs w:val="28"/>
              </w:rPr>
            </w:pPr>
            <w:r>
              <w:rPr>
                <w:rFonts w:hint="eastAsia" w:ascii="宋体" w:hAnsi="宋体" w:cs="宋体"/>
                <w:color w:val="000000"/>
                <w:kern w:val="0"/>
                <w:sz w:val="28"/>
                <w:szCs w:val="28"/>
              </w:rPr>
              <w:t>1</w:t>
            </w:r>
          </w:p>
        </w:tc>
        <w:tc>
          <w:tcPr>
            <w:tcW w:w="0" w:type="auto"/>
            <w:tcBorders>
              <w:top w:val="nil"/>
              <w:left w:val="nil"/>
              <w:bottom w:val="single" w:color="auto" w:sz="4" w:space="0"/>
              <w:right w:val="single" w:color="auto" w:sz="4" w:space="0"/>
            </w:tcBorders>
            <w:shd w:val="clear" w:color="auto" w:fill="auto"/>
            <w:noWrap/>
            <w:vAlign w:val="center"/>
          </w:tcPr>
          <w:p w14:paraId="65A63CF6">
            <w:pPr>
              <w:widowControl/>
              <w:jc w:val="center"/>
              <w:rPr>
                <w:rFonts w:ascii="宋体" w:hAnsi="宋体" w:cs="宋体"/>
                <w:color w:val="000000"/>
                <w:kern w:val="0"/>
                <w:sz w:val="28"/>
                <w:szCs w:val="28"/>
              </w:rPr>
            </w:pPr>
            <w:r>
              <w:rPr>
                <w:rFonts w:hint="eastAsia" w:ascii="宋体" w:hAnsi="宋体" w:cs="宋体"/>
                <w:color w:val="000000"/>
                <w:kern w:val="0"/>
                <w:sz w:val="28"/>
                <w:szCs w:val="28"/>
              </w:rPr>
              <w:t>套</w:t>
            </w:r>
          </w:p>
        </w:tc>
        <w:tc>
          <w:tcPr>
            <w:tcW w:w="0" w:type="auto"/>
            <w:tcBorders>
              <w:top w:val="nil"/>
              <w:left w:val="nil"/>
              <w:bottom w:val="single" w:color="auto" w:sz="4" w:space="0"/>
              <w:right w:val="single" w:color="auto" w:sz="4" w:space="0"/>
            </w:tcBorders>
            <w:shd w:val="clear" w:color="auto" w:fill="auto"/>
            <w:noWrap/>
            <w:vAlign w:val="center"/>
          </w:tcPr>
          <w:p w14:paraId="357D963D">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r>
      <w:tr w14:paraId="2D480168">
        <w:tblPrEx>
          <w:tblCellMar>
            <w:top w:w="0" w:type="dxa"/>
            <w:left w:w="108" w:type="dxa"/>
            <w:bottom w:w="0" w:type="dxa"/>
            <w:right w:w="108" w:type="dxa"/>
          </w:tblCellMar>
        </w:tblPrEx>
        <w:trPr>
          <w:trHeight w:val="540" w:hRule="atLeast"/>
        </w:trPr>
        <w:tc>
          <w:tcPr>
            <w:tcW w:w="729" w:type="dxa"/>
            <w:tcBorders>
              <w:top w:val="nil"/>
              <w:left w:val="single" w:color="auto" w:sz="4" w:space="0"/>
              <w:bottom w:val="single" w:color="auto" w:sz="4" w:space="0"/>
              <w:right w:val="single" w:color="auto" w:sz="4" w:space="0"/>
            </w:tcBorders>
            <w:shd w:val="clear" w:color="auto" w:fill="auto"/>
            <w:noWrap/>
            <w:vAlign w:val="center"/>
          </w:tcPr>
          <w:p w14:paraId="56A6C2B7">
            <w:pPr>
              <w:widowControl/>
              <w:jc w:val="center"/>
              <w:rPr>
                <w:rFonts w:ascii="宋体" w:hAnsi="宋体" w:cs="宋体"/>
                <w:color w:val="000000"/>
                <w:kern w:val="0"/>
                <w:sz w:val="28"/>
                <w:szCs w:val="28"/>
              </w:rPr>
            </w:pPr>
            <w:r>
              <w:rPr>
                <w:rFonts w:hint="eastAsia" w:ascii="宋体" w:hAnsi="宋体" w:cs="宋体"/>
                <w:color w:val="000000"/>
                <w:kern w:val="0"/>
                <w:sz w:val="28"/>
                <w:szCs w:val="28"/>
              </w:rPr>
              <w:t>4</w:t>
            </w:r>
          </w:p>
        </w:tc>
        <w:tc>
          <w:tcPr>
            <w:tcW w:w="1789" w:type="dxa"/>
            <w:tcBorders>
              <w:top w:val="nil"/>
              <w:left w:val="nil"/>
              <w:bottom w:val="single" w:color="auto" w:sz="4" w:space="0"/>
              <w:right w:val="single" w:color="auto" w:sz="4" w:space="0"/>
            </w:tcBorders>
            <w:shd w:val="clear" w:color="auto" w:fill="auto"/>
            <w:noWrap/>
            <w:vAlign w:val="center"/>
          </w:tcPr>
          <w:p w14:paraId="5688C723">
            <w:pPr>
              <w:widowControl/>
              <w:jc w:val="center"/>
              <w:rPr>
                <w:rFonts w:ascii="宋体" w:hAnsi="宋体" w:cs="宋体"/>
                <w:color w:val="000000"/>
                <w:kern w:val="0"/>
                <w:sz w:val="28"/>
                <w:szCs w:val="28"/>
              </w:rPr>
            </w:pPr>
            <w:r>
              <w:rPr>
                <w:rFonts w:hint="eastAsia" w:ascii="宋体" w:hAnsi="宋体" w:cs="宋体"/>
                <w:color w:val="000000"/>
                <w:kern w:val="0"/>
                <w:sz w:val="28"/>
                <w:szCs w:val="28"/>
              </w:rPr>
              <w:t>数据服务支撑</w:t>
            </w:r>
          </w:p>
        </w:tc>
        <w:tc>
          <w:tcPr>
            <w:tcW w:w="4891" w:type="dxa"/>
            <w:tcBorders>
              <w:top w:val="nil"/>
              <w:left w:val="nil"/>
              <w:bottom w:val="single" w:color="auto" w:sz="4" w:space="0"/>
              <w:right w:val="single" w:color="auto" w:sz="4" w:space="0"/>
            </w:tcBorders>
            <w:shd w:val="clear" w:color="auto" w:fill="auto"/>
            <w:vAlign w:val="center"/>
          </w:tcPr>
          <w:p w14:paraId="584C6FB1">
            <w:pPr>
              <w:widowControl/>
              <w:jc w:val="left"/>
              <w:rPr>
                <w:rFonts w:ascii="宋体" w:hAnsi="宋体" w:cs="宋体"/>
                <w:color w:val="000000"/>
                <w:kern w:val="0"/>
                <w:sz w:val="28"/>
                <w:szCs w:val="28"/>
              </w:rPr>
            </w:pPr>
            <w:r>
              <w:rPr>
                <w:rFonts w:hint="eastAsia" w:ascii="宋体" w:hAnsi="宋体" w:cs="宋体"/>
                <w:color w:val="000000"/>
                <w:kern w:val="0"/>
                <w:sz w:val="28"/>
                <w:szCs w:val="28"/>
              </w:rPr>
              <w:t>接入第三方数据服务（如企查查），实现企业基本信息、资质、专利、风险等数据实时查询。</w:t>
            </w:r>
          </w:p>
        </w:tc>
        <w:tc>
          <w:tcPr>
            <w:tcW w:w="0" w:type="auto"/>
            <w:tcBorders>
              <w:top w:val="nil"/>
              <w:left w:val="nil"/>
              <w:bottom w:val="single" w:color="auto" w:sz="4" w:space="0"/>
              <w:right w:val="single" w:color="auto" w:sz="4" w:space="0"/>
            </w:tcBorders>
            <w:shd w:val="clear" w:color="auto" w:fill="auto"/>
            <w:noWrap/>
            <w:vAlign w:val="center"/>
          </w:tcPr>
          <w:p w14:paraId="0765BB50">
            <w:pPr>
              <w:widowControl/>
              <w:jc w:val="center"/>
              <w:rPr>
                <w:rFonts w:ascii="宋体" w:hAnsi="宋体" w:cs="宋体"/>
                <w:color w:val="000000"/>
                <w:kern w:val="0"/>
                <w:sz w:val="28"/>
                <w:szCs w:val="28"/>
              </w:rPr>
            </w:pPr>
            <w:r>
              <w:rPr>
                <w:rFonts w:hint="eastAsia" w:ascii="宋体" w:hAnsi="宋体" w:cs="宋体"/>
                <w:color w:val="000000"/>
                <w:kern w:val="0"/>
                <w:sz w:val="28"/>
                <w:szCs w:val="28"/>
              </w:rPr>
              <w:t>1</w:t>
            </w:r>
          </w:p>
        </w:tc>
        <w:tc>
          <w:tcPr>
            <w:tcW w:w="0" w:type="auto"/>
            <w:tcBorders>
              <w:top w:val="nil"/>
              <w:left w:val="nil"/>
              <w:bottom w:val="single" w:color="auto" w:sz="4" w:space="0"/>
              <w:right w:val="single" w:color="auto" w:sz="4" w:space="0"/>
            </w:tcBorders>
            <w:shd w:val="clear" w:color="auto" w:fill="auto"/>
            <w:noWrap/>
            <w:vAlign w:val="center"/>
          </w:tcPr>
          <w:p w14:paraId="64CF8FA7">
            <w:pPr>
              <w:widowControl/>
              <w:jc w:val="center"/>
              <w:rPr>
                <w:rFonts w:ascii="宋体" w:hAnsi="宋体" w:cs="宋体"/>
                <w:color w:val="000000"/>
                <w:kern w:val="0"/>
                <w:sz w:val="28"/>
                <w:szCs w:val="28"/>
              </w:rPr>
            </w:pPr>
            <w:r>
              <w:rPr>
                <w:rFonts w:hint="eastAsia" w:ascii="宋体" w:hAnsi="宋体" w:cs="宋体"/>
                <w:color w:val="000000"/>
                <w:kern w:val="0"/>
                <w:sz w:val="28"/>
                <w:szCs w:val="28"/>
              </w:rPr>
              <w:t>套</w:t>
            </w:r>
          </w:p>
        </w:tc>
        <w:tc>
          <w:tcPr>
            <w:tcW w:w="0" w:type="auto"/>
            <w:tcBorders>
              <w:top w:val="nil"/>
              <w:left w:val="nil"/>
              <w:bottom w:val="single" w:color="auto" w:sz="4" w:space="0"/>
              <w:right w:val="single" w:color="auto" w:sz="4" w:space="0"/>
            </w:tcBorders>
            <w:shd w:val="clear" w:color="auto" w:fill="auto"/>
            <w:noWrap/>
            <w:vAlign w:val="center"/>
          </w:tcPr>
          <w:p w14:paraId="09C6DE3A">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r>
      <w:tr w14:paraId="38A1D646">
        <w:tblPrEx>
          <w:tblCellMar>
            <w:top w:w="0" w:type="dxa"/>
            <w:left w:w="108" w:type="dxa"/>
            <w:bottom w:w="0" w:type="dxa"/>
            <w:right w:w="108" w:type="dxa"/>
          </w:tblCellMar>
        </w:tblPrEx>
        <w:trPr>
          <w:trHeight w:val="499" w:hRule="atLeast"/>
        </w:trPr>
        <w:tc>
          <w:tcPr>
            <w:tcW w:w="729" w:type="dxa"/>
            <w:tcBorders>
              <w:top w:val="nil"/>
              <w:left w:val="single" w:color="auto" w:sz="4" w:space="0"/>
              <w:bottom w:val="single" w:color="auto" w:sz="4" w:space="0"/>
              <w:right w:val="single" w:color="auto" w:sz="4" w:space="0"/>
            </w:tcBorders>
            <w:shd w:val="clear" w:color="auto" w:fill="auto"/>
            <w:noWrap/>
            <w:vAlign w:val="center"/>
          </w:tcPr>
          <w:p w14:paraId="3E6ABE4F">
            <w:pPr>
              <w:widowControl/>
              <w:jc w:val="center"/>
              <w:rPr>
                <w:rFonts w:ascii="宋体" w:hAnsi="宋体" w:cs="宋体"/>
                <w:color w:val="000000"/>
                <w:kern w:val="0"/>
                <w:sz w:val="28"/>
                <w:szCs w:val="28"/>
              </w:rPr>
            </w:pPr>
            <w:r>
              <w:rPr>
                <w:rFonts w:hint="eastAsia" w:ascii="宋体" w:hAnsi="宋体" w:cs="宋体"/>
                <w:color w:val="000000"/>
                <w:kern w:val="0"/>
                <w:sz w:val="28"/>
                <w:szCs w:val="28"/>
              </w:rPr>
              <w:t>5</w:t>
            </w:r>
          </w:p>
        </w:tc>
        <w:tc>
          <w:tcPr>
            <w:tcW w:w="1789" w:type="dxa"/>
            <w:tcBorders>
              <w:top w:val="nil"/>
              <w:left w:val="nil"/>
              <w:bottom w:val="single" w:color="auto" w:sz="4" w:space="0"/>
              <w:right w:val="single" w:color="auto" w:sz="4" w:space="0"/>
            </w:tcBorders>
            <w:shd w:val="clear" w:color="auto" w:fill="auto"/>
            <w:noWrap/>
            <w:vAlign w:val="center"/>
          </w:tcPr>
          <w:p w14:paraId="2013BA23">
            <w:pPr>
              <w:widowControl/>
              <w:jc w:val="center"/>
              <w:rPr>
                <w:rFonts w:ascii="宋体" w:hAnsi="宋体" w:cs="宋体"/>
                <w:color w:val="000000"/>
                <w:kern w:val="0"/>
                <w:sz w:val="28"/>
                <w:szCs w:val="28"/>
              </w:rPr>
            </w:pPr>
            <w:r>
              <w:rPr>
                <w:rFonts w:hint="eastAsia" w:ascii="宋体" w:hAnsi="宋体" w:cs="宋体"/>
                <w:color w:val="000000"/>
                <w:kern w:val="0"/>
                <w:sz w:val="28"/>
                <w:szCs w:val="28"/>
              </w:rPr>
              <w:t>配套硬件设备等支撑</w:t>
            </w:r>
          </w:p>
        </w:tc>
        <w:tc>
          <w:tcPr>
            <w:tcW w:w="4891" w:type="dxa"/>
            <w:tcBorders>
              <w:top w:val="nil"/>
              <w:left w:val="nil"/>
              <w:bottom w:val="single" w:color="auto" w:sz="4" w:space="0"/>
              <w:right w:val="single" w:color="auto" w:sz="4" w:space="0"/>
            </w:tcBorders>
            <w:shd w:val="clear" w:color="auto" w:fill="auto"/>
            <w:noWrap/>
            <w:vAlign w:val="center"/>
          </w:tcPr>
          <w:p w14:paraId="2FD89799">
            <w:pPr>
              <w:widowControl/>
              <w:jc w:val="left"/>
              <w:rPr>
                <w:rFonts w:ascii="宋体" w:hAnsi="宋体" w:cs="宋体"/>
                <w:color w:val="000000"/>
                <w:kern w:val="0"/>
                <w:sz w:val="28"/>
                <w:szCs w:val="28"/>
              </w:rPr>
            </w:pPr>
            <w:r>
              <w:rPr>
                <w:rFonts w:hint="eastAsia" w:ascii="宋体" w:hAnsi="宋体" w:cs="宋体"/>
                <w:color w:val="000000"/>
                <w:kern w:val="0"/>
                <w:sz w:val="28"/>
                <w:szCs w:val="28"/>
              </w:rPr>
              <w:t>提供可移动指挥显示屏、服务器、网络等支撑。</w:t>
            </w:r>
          </w:p>
        </w:tc>
        <w:tc>
          <w:tcPr>
            <w:tcW w:w="0" w:type="auto"/>
            <w:tcBorders>
              <w:top w:val="nil"/>
              <w:left w:val="nil"/>
              <w:bottom w:val="single" w:color="auto" w:sz="4" w:space="0"/>
              <w:right w:val="single" w:color="auto" w:sz="4" w:space="0"/>
            </w:tcBorders>
            <w:shd w:val="clear" w:color="auto" w:fill="auto"/>
            <w:noWrap/>
            <w:vAlign w:val="center"/>
          </w:tcPr>
          <w:p w14:paraId="233C9BFB">
            <w:pPr>
              <w:widowControl/>
              <w:jc w:val="center"/>
              <w:rPr>
                <w:rFonts w:ascii="宋体" w:hAnsi="宋体" w:cs="宋体"/>
                <w:color w:val="000000"/>
                <w:kern w:val="0"/>
                <w:sz w:val="28"/>
                <w:szCs w:val="28"/>
              </w:rPr>
            </w:pPr>
            <w:r>
              <w:rPr>
                <w:rFonts w:hint="eastAsia" w:ascii="宋体" w:hAnsi="宋体" w:cs="宋体"/>
                <w:color w:val="000000"/>
                <w:kern w:val="0"/>
                <w:sz w:val="28"/>
                <w:szCs w:val="28"/>
              </w:rPr>
              <w:t>1</w:t>
            </w:r>
          </w:p>
        </w:tc>
        <w:tc>
          <w:tcPr>
            <w:tcW w:w="0" w:type="auto"/>
            <w:tcBorders>
              <w:top w:val="nil"/>
              <w:left w:val="nil"/>
              <w:bottom w:val="single" w:color="auto" w:sz="4" w:space="0"/>
              <w:right w:val="single" w:color="auto" w:sz="4" w:space="0"/>
            </w:tcBorders>
            <w:shd w:val="clear" w:color="auto" w:fill="auto"/>
            <w:noWrap/>
            <w:vAlign w:val="center"/>
          </w:tcPr>
          <w:p w14:paraId="6738A607">
            <w:pPr>
              <w:widowControl/>
              <w:jc w:val="center"/>
              <w:rPr>
                <w:rFonts w:ascii="宋体" w:hAnsi="宋体" w:cs="宋体"/>
                <w:color w:val="000000"/>
                <w:kern w:val="0"/>
                <w:sz w:val="28"/>
                <w:szCs w:val="28"/>
              </w:rPr>
            </w:pPr>
            <w:r>
              <w:rPr>
                <w:rFonts w:hint="eastAsia" w:ascii="宋体" w:hAnsi="宋体" w:cs="宋体"/>
                <w:color w:val="000000"/>
                <w:kern w:val="0"/>
                <w:sz w:val="28"/>
                <w:szCs w:val="28"/>
              </w:rPr>
              <w:t>套</w:t>
            </w:r>
          </w:p>
        </w:tc>
        <w:tc>
          <w:tcPr>
            <w:tcW w:w="0" w:type="auto"/>
            <w:tcBorders>
              <w:top w:val="nil"/>
              <w:left w:val="nil"/>
              <w:bottom w:val="single" w:color="auto" w:sz="4" w:space="0"/>
              <w:right w:val="single" w:color="auto" w:sz="4" w:space="0"/>
            </w:tcBorders>
            <w:shd w:val="clear" w:color="auto" w:fill="auto"/>
            <w:noWrap/>
            <w:vAlign w:val="center"/>
          </w:tcPr>
          <w:p w14:paraId="03463D14">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r>
      <w:tr w14:paraId="7D4C8FCD">
        <w:tblPrEx>
          <w:tblCellMar>
            <w:top w:w="0" w:type="dxa"/>
            <w:left w:w="108" w:type="dxa"/>
            <w:bottom w:w="0" w:type="dxa"/>
            <w:right w:w="108" w:type="dxa"/>
          </w:tblCellMar>
        </w:tblPrEx>
        <w:trPr>
          <w:trHeight w:val="499" w:hRule="atLeast"/>
        </w:trPr>
        <w:tc>
          <w:tcPr>
            <w:tcW w:w="729" w:type="dxa"/>
            <w:tcBorders>
              <w:top w:val="nil"/>
              <w:left w:val="single" w:color="auto" w:sz="4" w:space="0"/>
              <w:bottom w:val="single" w:color="auto" w:sz="4" w:space="0"/>
              <w:right w:val="single" w:color="auto" w:sz="4" w:space="0"/>
            </w:tcBorders>
            <w:shd w:val="clear" w:color="auto" w:fill="auto"/>
            <w:noWrap/>
            <w:vAlign w:val="center"/>
          </w:tcPr>
          <w:p w14:paraId="33A60324">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二、</w:t>
            </w:r>
          </w:p>
        </w:tc>
        <w:tc>
          <w:tcPr>
            <w:tcW w:w="8699" w:type="dxa"/>
            <w:gridSpan w:val="5"/>
            <w:tcBorders>
              <w:top w:val="single" w:color="auto" w:sz="4" w:space="0"/>
              <w:left w:val="nil"/>
              <w:bottom w:val="single" w:color="auto" w:sz="4" w:space="0"/>
              <w:right w:val="single" w:color="000000" w:sz="4" w:space="0"/>
            </w:tcBorders>
            <w:shd w:val="clear" w:color="auto" w:fill="auto"/>
            <w:noWrap/>
            <w:vAlign w:val="center"/>
          </w:tcPr>
          <w:p w14:paraId="02D3400B">
            <w:pPr>
              <w:widowControl/>
              <w:jc w:val="left"/>
              <w:rPr>
                <w:rFonts w:ascii="宋体" w:hAnsi="宋体" w:cs="宋体"/>
                <w:b/>
                <w:bCs/>
                <w:color w:val="000000"/>
                <w:kern w:val="0"/>
                <w:sz w:val="28"/>
                <w:szCs w:val="28"/>
              </w:rPr>
            </w:pPr>
            <w:r>
              <w:rPr>
                <w:rFonts w:hint="eastAsia" w:ascii="宋体" w:hAnsi="宋体" w:cs="宋体"/>
                <w:b/>
                <w:bCs/>
                <w:color w:val="000000"/>
                <w:kern w:val="0"/>
                <w:sz w:val="28"/>
                <w:szCs w:val="28"/>
              </w:rPr>
              <w:t>业务应用平台</w:t>
            </w:r>
          </w:p>
        </w:tc>
      </w:tr>
      <w:tr w14:paraId="68720BE5">
        <w:tblPrEx>
          <w:tblCellMar>
            <w:top w:w="0" w:type="dxa"/>
            <w:left w:w="108" w:type="dxa"/>
            <w:bottom w:w="0" w:type="dxa"/>
            <w:right w:w="108" w:type="dxa"/>
          </w:tblCellMar>
        </w:tblPrEx>
        <w:trPr>
          <w:trHeight w:val="810" w:hRule="atLeast"/>
        </w:trPr>
        <w:tc>
          <w:tcPr>
            <w:tcW w:w="729" w:type="dxa"/>
            <w:tcBorders>
              <w:top w:val="nil"/>
              <w:left w:val="single" w:color="auto" w:sz="4" w:space="0"/>
              <w:bottom w:val="single" w:color="auto" w:sz="4" w:space="0"/>
              <w:right w:val="single" w:color="auto" w:sz="4" w:space="0"/>
            </w:tcBorders>
            <w:shd w:val="clear" w:color="auto" w:fill="auto"/>
            <w:noWrap/>
            <w:vAlign w:val="center"/>
          </w:tcPr>
          <w:p w14:paraId="7D35B950">
            <w:pPr>
              <w:widowControl/>
              <w:jc w:val="center"/>
              <w:rPr>
                <w:rFonts w:ascii="宋体" w:hAnsi="宋体" w:cs="宋体"/>
                <w:color w:val="000000"/>
                <w:kern w:val="0"/>
                <w:sz w:val="28"/>
                <w:szCs w:val="28"/>
              </w:rPr>
            </w:pPr>
            <w:r>
              <w:rPr>
                <w:rFonts w:hint="eastAsia" w:ascii="宋体" w:hAnsi="宋体" w:cs="宋体"/>
                <w:color w:val="000000"/>
                <w:kern w:val="0"/>
                <w:sz w:val="28"/>
                <w:szCs w:val="28"/>
              </w:rPr>
              <w:t>6</w:t>
            </w:r>
          </w:p>
        </w:tc>
        <w:tc>
          <w:tcPr>
            <w:tcW w:w="1789" w:type="dxa"/>
            <w:tcBorders>
              <w:top w:val="nil"/>
              <w:left w:val="nil"/>
              <w:bottom w:val="single" w:color="auto" w:sz="4" w:space="0"/>
              <w:right w:val="single" w:color="auto" w:sz="4" w:space="0"/>
            </w:tcBorders>
            <w:shd w:val="clear" w:color="auto" w:fill="auto"/>
            <w:noWrap/>
            <w:vAlign w:val="center"/>
          </w:tcPr>
          <w:p w14:paraId="11131CFD">
            <w:pPr>
              <w:widowControl/>
              <w:jc w:val="center"/>
              <w:rPr>
                <w:rFonts w:ascii="宋体" w:hAnsi="宋体" w:cs="宋体"/>
                <w:color w:val="000000"/>
                <w:kern w:val="0"/>
                <w:sz w:val="28"/>
                <w:szCs w:val="28"/>
              </w:rPr>
            </w:pPr>
            <w:r>
              <w:rPr>
                <w:rFonts w:hint="eastAsia" w:ascii="宋体" w:hAnsi="宋体" w:cs="宋体"/>
                <w:color w:val="000000"/>
                <w:kern w:val="0"/>
                <w:sz w:val="28"/>
                <w:szCs w:val="28"/>
              </w:rPr>
              <w:t>产业看板</w:t>
            </w:r>
          </w:p>
        </w:tc>
        <w:tc>
          <w:tcPr>
            <w:tcW w:w="4891" w:type="dxa"/>
            <w:tcBorders>
              <w:top w:val="nil"/>
              <w:left w:val="nil"/>
              <w:bottom w:val="single" w:color="auto" w:sz="4" w:space="0"/>
              <w:right w:val="single" w:color="auto" w:sz="4" w:space="0"/>
            </w:tcBorders>
            <w:shd w:val="clear" w:color="auto" w:fill="auto"/>
            <w:vAlign w:val="center"/>
          </w:tcPr>
          <w:p w14:paraId="254BD12E">
            <w:pPr>
              <w:widowControl/>
              <w:jc w:val="left"/>
              <w:rPr>
                <w:rFonts w:ascii="宋体" w:hAnsi="宋体" w:cs="宋体"/>
                <w:color w:val="000000"/>
                <w:kern w:val="0"/>
                <w:sz w:val="28"/>
                <w:szCs w:val="28"/>
              </w:rPr>
            </w:pPr>
            <w:r>
              <w:rPr>
                <w:rFonts w:hint="eastAsia" w:ascii="宋体" w:hAnsi="宋体" w:cs="宋体"/>
                <w:color w:val="000000"/>
                <w:kern w:val="0"/>
                <w:sz w:val="28"/>
                <w:szCs w:val="28"/>
              </w:rPr>
              <w:t>构建建设产业看板功能模块，包括产业看板大屏、一企一档、产业链管理等模块。</w:t>
            </w:r>
          </w:p>
        </w:tc>
        <w:tc>
          <w:tcPr>
            <w:tcW w:w="0" w:type="auto"/>
            <w:tcBorders>
              <w:top w:val="nil"/>
              <w:left w:val="nil"/>
              <w:bottom w:val="single" w:color="auto" w:sz="4" w:space="0"/>
              <w:right w:val="single" w:color="auto" w:sz="4" w:space="0"/>
            </w:tcBorders>
            <w:shd w:val="clear" w:color="auto" w:fill="auto"/>
            <w:noWrap/>
            <w:vAlign w:val="center"/>
          </w:tcPr>
          <w:p w14:paraId="68A49F2F">
            <w:pPr>
              <w:widowControl/>
              <w:jc w:val="center"/>
              <w:rPr>
                <w:rFonts w:ascii="宋体" w:hAnsi="宋体" w:cs="宋体"/>
                <w:color w:val="000000"/>
                <w:kern w:val="0"/>
                <w:sz w:val="28"/>
                <w:szCs w:val="28"/>
              </w:rPr>
            </w:pPr>
            <w:r>
              <w:rPr>
                <w:rFonts w:hint="eastAsia" w:ascii="宋体" w:hAnsi="宋体" w:cs="宋体"/>
                <w:color w:val="000000"/>
                <w:kern w:val="0"/>
                <w:sz w:val="28"/>
                <w:szCs w:val="28"/>
              </w:rPr>
              <w:t>1</w:t>
            </w:r>
          </w:p>
        </w:tc>
        <w:tc>
          <w:tcPr>
            <w:tcW w:w="0" w:type="auto"/>
            <w:tcBorders>
              <w:top w:val="nil"/>
              <w:left w:val="nil"/>
              <w:bottom w:val="single" w:color="auto" w:sz="4" w:space="0"/>
              <w:right w:val="single" w:color="auto" w:sz="4" w:space="0"/>
            </w:tcBorders>
            <w:shd w:val="clear" w:color="auto" w:fill="auto"/>
            <w:noWrap/>
            <w:vAlign w:val="center"/>
          </w:tcPr>
          <w:p w14:paraId="0E7BC73D">
            <w:pPr>
              <w:widowControl/>
              <w:jc w:val="center"/>
              <w:rPr>
                <w:rFonts w:ascii="宋体" w:hAnsi="宋体" w:cs="宋体"/>
                <w:color w:val="000000"/>
                <w:kern w:val="0"/>
                <w:sz w:val="28"/>
                <w:szCs w:val="28"/>
              </w:rPr>
            </w:pPr>
            <w:r>
              <w:rPr>
                <w:rFonts w:hint="eastAsia" w:ascii="宋体" w:hAnsi="宋体" w:cs="宋体"/>
                <w:color w:val="000000"/>
                <w:kern w:val="0"/>
                <w:sz w:val="28"/>
                <w:szCs w:val="28"/>
              </w:rPr>
              <w:t>套</w:t>
            </w:r>
          </w:p>
        </w:tc>
        <w:tc>
          <w:tcPr>
            <w:tcW w:w="0" w:type="auto"/>
            <w:tcBorders>
              <w:top w:val="nil"/>
              <w:left w:val="nil"/>
              <w:bottom w:val="single" w:color="auto" w:sz="4" w:space="0"/>
              <w:right w:val="single" w:color="auto" w:sz="4" w:space="0"/>
            </w:tcBorders>
            <w:shd w:val="clear" w:color="auto" w:fill="auto"/>
            <w:noWrap/>
            <w:vAlign w:val="center"/>
          </w:tcPr>
          <w:p w14:paraId="3D97179F">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r>
      <w:tr w14:paraId="0044F807">
        <w:tblPrEx>
          <w:tblCellMar>
            <w:top w:w="0" w:type="dxa"/>
            <w:left w:w="108" w:type="dxa"/>
            <w:bottom w:w="0" w:type="dxa"/>
            <w:right w:w="108" w:type="dxa"/>
          </w:tblCellMar>
        </w:tblPrEx>
        <w:trPr>
          <w:trHeight w:val="1080" w:hRule="atLeast"/>
        </w:trPr>
        <w:tc>
          <w:tcPr>
            <w:tcW w:w="729" w:type="dxa"/>
            <w:tcBorders>
              <w:top w:val="nil"/>
              <w:left w:val="single" w:color="auto" w:sz="4" w:space="0"/>
              <w:bottom w:val="single" w:color="auto" w:sz="4" w:space="0"/>
              <w:right w:val="single" w:color="auto" w:sz="4" w:space="0"/>
            </w:tcBorders>
            <w:shd w:val="clear" w:color="auto" w:fill="auto"/>
            <w:noWrap/>
            <w:vAlign w:val="center"/>
          </w:tcPr>
          <w:p w14:paraId="7A3F47EC">
            <w:pPr>
              <w:widowControl/>
              <w:jc w:val="center"/>
              <w:rPr>
                <w:rFonts w:ascii="宋体" w:hAnsi="宋体" w:cs="宋体"/>
                <w:color w:val="000000"/>
                <w:kern w:val="0"/>
                <w:sz w:val="28"/>
                <w:szCs w:val="28"/>
              </w:rPr>
            </w:pPr>
            <w:r>
              <w:rPr>
                <w:rFonts w:hint="eastAsia" w:ascii="宋体" w:hAnsi="宋体" w:cs="宋体"/>
                <w:color w:val="000000"/>
                <w:kern w:val="0"/>
                <w:sz w:val="28"/>
                <w:szCs w:val="28"/>
              </w:rPr>
              <w:t>7</w:t>
            </w:r>
          </w:p>
        </w:tc>
        <w:tc>
          <w:tcPr>
            <w:tcW w:w="1789" w:type="dxa"/>
            <w:tcBorders>
              <w:top w:val="nil"/>
              <w:left w:val="nil"/>
              <w:bottom w:val="single" w:color="auto" w:sz="4" w:space="0"/>
              <w:right w:val="single" w:color="auto" w:sz="4" w:space="0"/>
            </w:tcBorders>
            <w:shd w:val="clear" w:color="auto" w:fill="auto"/>
            <w:noWrap/>
            <w:vAlign w:val="center"/>
          </w:tcPr>
          <w:p w14:paraId="68B732FA">
            <w:pPr>
              <w:widowControl/>
              <w:jc w:val="center"/>
              <w:rPr>
                <w:rFonts w:ascii="宋体" w:hAnsi="宋体" w:cs="宋体"/>
                <w:color w:val="000000"/>
                <w:kern w:val="0"/>
                <w:sz w:val="28"/>
                <w:szCs w:val="28"/>
              </w:rPr>
            </w:pPr>
            <w:r>
              <w:rPr>
                <w:rFonts w:hint="eastAsia" w:ascii="宋体" w:hAnsi="宋体" w:cs="宋体"/>
                <w:color w:val="000000"/>
                <w:kern w:val="0"/>
                <w:sz w:val="28"/>
                <w:szCs w:val="28"/>
              </w:rPr>
              <w:t>招商看板</w:t>
            </w:r>
          </w:p>
        </w:tc>
        <w:tc>
          <w:tcPr>
            <w:tcW w:w="4891" w:type="dxa"/>
            <w:tcBorders>
              <w:top w:val="nil"/>
              <w:left w:val="nil"/>
              <w:bottom w:val="single" w:color="auto" w:sz="4" w:space="0"/>
              <w:right w:val="single" w:color="auto" w:sz="4" w:space="0"/>
            </w:tcBorders>
            <w:shd w:val="clear" w:color="auto" w:fill="auto"/>
            <w:vAlign w:val="center"/>
          </w:tcPr>
          <w:p w14:paraId="572B7F9A">
            <w:pPr>
              <w:widowControl/>
              <w:jc w:val="left"/>
              <w:rPr>
                <w:rFonts w:ascii="宋体" w:hAnsi="宋体" w:cs="宋体"/>
                <w:color w:val="000000"/>
                <w:kern w:val="0"/>
                <w:sz w:val="28"/>
                <w:szCs w:val="28"/>
              </w:rPr>
            </w:pPr>
            <w:r>
              <w:rPr>
                <w:rFonts w:hint="eastAsia" w:ascii="宋体" w:hAnsi="宋体" w:cs="宋体"/>
                <w:color w:val="000000"/>
                <w:kern w:val="0"/>
                <w:sz w:val="28"/>
                <w:szCs w:val="28"/>
              </w:rPr>
              <w:t>为实现招商全过程的线上数字化管理，构建招商看板功能模块，包括招商看板大屏、招商智能推荐、招商智能填报、招商智能分析、监管协议管理等模块。</w:t>
            </w:r>
          </w:p>
        </w:tc>
        <w:tc>
          <w:tcPr>
            <w:tcW w:w="0" w:type="auto"/>
            <w:tcBorders>
              <w:top w:val="nil"/>
              <w:left w:val="nil"/>
              <w:bottom w:val="single" w:color="auto" w:sz="4" w:space="0"/>
              <w:right w:val="single" w:color="auto" w:sz="4" w:space="0"/>
            </w:tcBorders>
            <w:shd w:val="clear" w:color="auto" w:fill="auto"/>
            <w:noWrap/>
            <w:vAlign w:val="center"/>
          </w:tcPr>
          <w:p w14:paraId="3ACB2E88">
            <w:pPr>
              <w:widowControl/>
              <w:jc w:val="center"/>
              <w:rPr>
                <w:rFonts w:ascii="宋体" w:hAnsi="宋体" w:cs="宋体"/>
                <w:color w:val="000000"/>
                <w:kern w:val="0"/>
                <w:sz w:val="28"/>
                <w:szCs w:val="28"/>
              </w:rPr>
            </w:pPr>
            <w:r>
              <w:rPr>
                <w:rFonts w:hint="eastAsia" w:ascii="宋体" w:hAnsi="宋体" w:cs="宋体"/>
                <w:color w:val="000000"/>
                <w:kern w:val="0"/>
                <w:sz w:val="28"/>
                <w:szCs w:val="28"/>
              </w:rPr>
              <w:t>1</w:t>
            </w:r>
          </w:p>
        </w:tc>
        <w:tc>
          <w:tcPr>
            <w:tcW w:w="0" w:type="auto"/>
            <w:tcBorders>
              <w:top w:val="nil"/>
              <w:left w:val="nil"/>
              <w:bottom w:val="single" w:color="auto" w:sz="4" w:space="0"/>
              <w:right w:val="single" w:color="auto" w:sz="4" w:space="0"/>
            </w:tcBorders>
            <w:shd w:val="clear" w:color="auto" w:fill="auto"/>
            <w:noWrap/>
            <w:vAlign w:val="center"/>
          </w:tcPr>
          <w:p w14:paraId="1FC4ED5A">
            <w:pPr>
              <w:widowControl/>
              <w:jc w:val="center"/>
              <w:rPr>
                <w:rFonts w:ascii="宋体" w:hAnsi="宋体" w:cs="宋体"/>
                <w:color w:val="000000"/>
                <w:kern w:val="0"/>
                <w:sz w:val="28"/>
                <w:szCs w:val="28"/>
              </w:rPr>
            </w:pPr>
            <w:r>
              <w:rPr>
                <w:rFonts w:hint="eastAsia" w:ascii="宋体" w:hAnsi="宋体" w:cs="宋体"/>
                <w:color w:val="000000"/>
                <w:kern w:val="0"/>
                <w:sz w:val="28"/>
                <w:szCs w:val="28"/>
              </w:rPr>
              <w:t>套</w:t>
            </w:r>
          </w:p>
        </w:tc>
        <w:tc>
          <w:tcPr>
            <w:tcW w:w="0" w:type="auto"/>
            <w:tcBorders>
              <w:top w:val="nil"/>
              <w:left w:val="nil"/>
              <w:bottom w:val="single" w:color="auto" w:sz="4" w:space="0"/>
              <w:right w:val="single" w:color="auto" w:sz="4" w:space="0"/>
            </w:tcBorders>
            <w:shd w:val="clear" w:color="auto" w:fill="auto"/>
            <w:noWrap/>
            <w:vAlign w:val="center"/>
          </w:tcPr>
          <w:p w14:paraId="60D25648">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r>
      <w:tr w14:paraId="2B175DEF">
        <w:tblPrEx>
          <w:tblCellMar>
            <w:top w:w="0" w:type="dxa"/>
            <w:left w:w="108" w:type="dxa"/>
            <w:bottom w:w="0" w:type="dxa"/>
            <w:right w:w="108" w:type="dxa"/>
          </w:tblCellMar>
        </w:tblPrEx>
        <w:trPr>
          <w:trHeight w:val="499" w:hRule="atLeast"/>
        </w:trPr>
        <w:tc>
          <w:tcPr>
            <w:tcW w:w="729" w:type="dxa"/>
            <w:tcBorders>
              <w:top w:val="nil"/>
              <w:left w:val="single" w:color="auto" w:sz="4" w:space="0"/>
              <w:bottom w:val="single" w:color="auto" w:sz="4" w:space="0"/>
              <w:right w:val="single" w:color="auto" w:sz="4" w:space="0"/>
            </w:tcBorders>
            <w:shd w:val="clear" w:color="auto" w:fill="auto"/>
            <w:noWrap/>
            <w:vAlign w:val="center"/>
          </w:tcPr>
          <w:p w14:paraId="70EBDF49">
            <w:pPr>
              <w:widowControl/>
              <w:jc w:val="center"/>
              <w:rPr>
                <w:rFonts w:ascii="宋体" w:hAnsi="宋体" w:cs="宋体"/>
                <w:color w:val="000000"/>
                <w:kern w:val="0"/>
                <w:sz w:val="28"/>
                <w:szCs w:val="28"/>
              </w:rPr>
            </w:pPr>
            <w:r>
              <w:rPr>
                <w:rFonts w:hint="eastAsia" w:ascii="宋体" w:hAnsi="宋体" w:cs="宋体"/>
                <w:color w:val="000000"/>
                <w:kern w:val="0"/>
                <w:sz w:val="28"/>
                <w:szCs w:val="28"/>
              </w:rPr>
              <w:t>8</w:t>
            </w:r>
          </w:p>
        </w:tc>
        <w:tc>
          <w:tcPr>
            <w:tcW w:w="1789" w:type="dxa"/>
            <w:tcBorders>
              <w:top w:val="nil"/>
              <w:left w:val="nil"/>
              <w:bottom w:val="single" w:color="auto" w:sz="4" w:space="0"/>
              <w:right w:val="single" w:color="auto" w:sz="4" w:space="0"/>
            </w:tcBorders>
            <w:shd w:val="clear" w:color="auto" w:fill="auto"/>
            <w:noWrap/>
            <w:vAlign w:val="center"/>
          </w:tcPr>
          <w:p w14:paraId="23E1DCF2">
            <w:pPr>
              <w:widowControl/>
              <w:jc w:val="center"/>
              <w:rPr>
                <w:rFonts w:ascii="宋体" w:hAnsi="宋体" w:cs="宋体"/>
                <w:color w:val="000000"/>
                <w:kern w:val="0"/>
                <w:sz w:val="28"/>
                <w:szCs w:val="28"/>
              </w:rPr>
            </w:pPr>
            <w:r>
              <w:rPr>
                <w:rFonts w:hint="eastAsia" w:ascii="宋体" w:hAnsi="宋体" w:cs="宋体"/>
                <w:color w:val="000000"/>
                <w:kern w:val="0"/>
                <w:sz w:val="28"/>
                <w:szCs w:val="28"/>
              </w:rPr>
              <w:t>项目看板</w:t>
            </w:r>
          </w:p>
        </w:tc>
        <w:tc>
          <w:tcPr>
            <w:tcW w:w="4891" w:type="dxa"/>
            <w:tcBorders>
              <w:top w:val="nil"/>
              <w:left w:val="nil"/>
              <w:bottom w:val="single" w:color="auto" w:sz="4" w:space="0"/>
              <w:right w:val="single" w:color="auto" w:sz="4" w:space="0"/>
            </w:tcBorders>
            <w:shd w:val="clear" w:color="auto" w:fill="auto"/>
            <w:vAlign w:val="center"/>
          </w:tcPr>
          <w:p w14:paraId="2AE607A8">
            <w:pPr>
              <w:widowControl/>
              <w:jc w:val="left"/>
              <w:rPr>
                <w:rFonts w:ascii="宋体" w:hAnsi="宋体" w:cs="宋体"/>
                <w:color w:val="000000"/>
                <w:kern w:val="0"/>
                <w:sz w:val="28"/>
                <w:szCs w:val="28"/>
              </w:rPr>
            </w:pPr>
            <w:r>
              <w:rPr>
                <w:rFonts w:hint="eastAsia" w:ascii="宋体" w:hAnsi="宋体" w:cs="宋体"/>
                <w:color w:val="000000"/>
                <w:kern w:val="0"/>
                <w:sz w:val="28"/>
                <w:szCs w:val="28"/>
              </w:rPr>
              <w:t>构建项目看板业务应用功能，实现项目从签约到落地的全周期数字化管理，包括项项目看板大屏、项目名录管理、项目年度计划管理、项目进展管理、项目问题管理等模块。</w:t>
            </w:r>
          </w:p>
        </w:tc>
        <w:tc>
          <w:tcPr>
            <w:tcW w:w="0" w:type="auto"/>
            <w:tcBorders>
              <w:top w:val="nil"/>
              <w:left w:val="nil"/>
              <w:bottom w:val="single" w:color="auto" w:sz="4" w:space="0"/>
              <w:right w:val="single" w:color="auto" w:sz="4" w:space="0"/>
            </w:tcBorders>
            <w:shd w:val="clear" w:color="auto" w:fill="auto"/>
            <w:noWrap/>
            <w:vAlign w:val="center"/>
          </w:tcPr>
          <w:p w14:paraId="55C08668">
            <w:pPr>
              <w:widowControl/>
              <w:jc w:val="center"/>
              <w:rPr>
                <w:rFonts w:ascii="宋体" w:hAnsi="宋体" w:cs="宋体"/>
                <w:color w:val="000000"/>
                <w:kern w:val="0"/>
                <w:sz w:val="28"/>
                <w:szCs w:val="28"/>
              </w:rPr>
            </w:pPr>
            <w:r>
              <w:rPr>
                <w:rFonts w:hint="eastAsia" w:ascii="宋体" w:hAnsi="宋体" w:cs="宋体"/>
                <w:color w:val="000000"/>
                <w:kern w:val="0"/>
                <w:sz w:val="28"/>
                <w:szCs w:val="28"/>
              </w:rPr>
              <w:t>1</w:t>
            </w:r>
          </w:p>
        </w:tc>
        <w:tc>
          <w:tcPr>
            <w:tcW w:w="0" w:type="auto"/>
            <w:tcBorders>
              <w:top w:val="nil"/>
              <w:left w:val="nil"/>
              <w:bottom w:val="single" w:color="auto" w:sz="4" w:space="0"/>
              <w:right w:val="single" w:color="auto" w:sz="4" w:space="0"/>
            </w:tcBorders>
            <w:shd w:val="clear" w:color="auto" w:fill="auto"/>
            <w:noWrap/>
            <w:vAlign w:val="center"/>
          </w:tcPr>
          <w:p w14:paraId="55F11D78">
            <w:pPr>
              <w:widowControl/>
              <w:jc w:val="center"/>
              <w:rPr>
                <w:rFonts w:ascii="宋体" w:hAnsi="宋体" w:cs="宋体"/>
                <w:color w:val="000000"/>
                <w:kern w:val="0"/>
                <w:sz w:val="28"/>
                <w:szCs w:val="28"/>
              </w:rPr>
            </w:pPr>
            <w:r>
              <w:rPr>
                <w:rFonts w:hint="eastAsia" w:ascii="宋体" w:hAnsi="宋体" w:cs="宋体"/>
                <w:color w:val="000000"/>
                <w:kern w:val="0"/>
                <w:sz w:val="28"/>
                <w:szCs w:val="28"/>
              </w:rPr>
              <w:t>套</w:t>
            </w:r>
          </w:p>
        </w:tc>
        <w:tc>
          <w:tcPr>
            <w:tcW w:w="0" w:type="auto"/>
            <w:tcBorders>
              <w:top w:val="nil"/>
              <w:left w:val="nil"/>
              <w:bottom w:val="single" w:color="auto" w:sz="4" w:space="0"/>
              <w:right w:val="single" w:color="auto" w:sz="4" w:space="0"/>
            </w:tcBorders>
            <w:shd w:val="clear" w:color="auto" w:fill="auto"/>
            <w:noWrap/>
            <w:vAlign w:val="center"/>
          </w:tcPr>
          <w:p w14:paraId="1E046EB2">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r>
      <w:tr w14:paraId="59140467">
        <w:tblPrEx>
          <w:tblCellMar>
            <w:top w:w="0" w:type="dxa"/>
            <w:left w:w="108" w:type="dxa"/>
            <w:bottom w:w="0" w:type="dxa"/>
            <w:right w:w="108" w:type="dxa"/>
          </w:tblCellMar>
        </w:tblPrEx>
        <w:trPr>
          <w:trHeight w:val="499" w:hRule="atLeast"/>
        </w:trPr>
        <w:tc>
          <w:tcPr>
            <w:tcW w:w="729" w:type="dxa"/>
            <w:tcBorders>
              <w:top w:val="nil"/>
              <w:left w:val="single" w:color="auto" w:sz="4" w:space="0"/>
              <w:bottom w:val="single" w:color="auto" w:sz="4" w:space="0"/>
              <w:right w:val="single" w:color="auto" w:sz="4" w:space="0"/>
            </w:tcBorders>
            <w:shd w:val="clear" w:color="auto" w:fill="auto"/>
            <w:noWrap/>
            <w:vAlign w:val="center"/>
          </w:tcPr>
          <w:p w14:paraId="3A7B674D">
            <w:pPr>
              <w:widowControl/>
              <w:jc w:val="center"/>
              <w:rPr>
                <w:rFonts w:ascii="宋体" w:hAnsi="宋体" w:cs="宋体"/>
                <w:color w:val="000000"/>
                <w:kern w:val="0"/>
                <w:sz w:val="28"/>
                <w:szCs w:val="28"/>
              </w:rPr>
            </w:pPr>
            <w:r>
              <w:rPr>
                <w:rFonts w:hint="eastAsia" w:ascii="宋体" w:hAnsi="宋体" w:cs="宋体"/>
                <w:color w:val="000000"/>
                <w:kern w:val="0"/>
                <w:sz w:val="28"/>
                <w:szCs w:val="28"/>
              </w:rPr>
              <w:t>9</w:t>
            </w:r>
          </w:p>
        </w:tc>
        <w:tc>
          <w:tcPr>
            <w:tcW w:w="1789" w:type="dxa"/>
            <w:tcBorders>
              <w:top w:val="nil"/>
              <w:left w:val="nil"/>
              <w:bottom w:val="single" w:color="auto" w:sz="4" w:space="0"/>
              <w:right w:val="single" w:color="auto" w:sz="4" w:space="0"/>
            </w:tcBorders>
            <w:shd w:val="clear" w:color="auto" w:fill="auto"/>
            <w:noWrap/>
            <w:vAlign w:val="center"/>
          </w:tcPr>
          <w:p w14:paraId="2B36C7C5">
            <w:pPr>
              <w:widowControl/>
              <w:jc w:val="center"/>
              <w:rPr>
                <w:rFonts w:ascii="宋体" w:hAnsi="宋体" w:cs="宋体"/>
                <w:color w:val="000000"/>
                <w:kern w:val="0"/>
                <w:sz w:val="28"/>
                <w:szCs w:val="28"/>
              </w:rPr>
            </w:pPr>
            <w:r>
              <w:rPr>
                <w:rFonts w:hint="eastAsia" w:ascii="宋体" w:hAnsi="宋体" w:cs="宋体"/>
                <w:color w:val="000000"/>
                <w:kern w:val="0"/>
                <w:sz w:val="28"/>
                <w:szCs w:val="28"/>
              </w:rPr>
              <w:t>企业服务门户</w:t>
            </w:r>
          </w:p>
        </w:tc>
        <w:tc>
          <w:tcPr>
            <w:tcW w:w="4891" w:type="dxa"/>
            <w:tcBorders>
              <w:top w:val="nil"/>
              <w:left w:val="nil"/>
              <w:bottom w:val="single" w:color="auto" w:sz="4" w:space="0"/>
              <w:right w:val="single" w:color="auto" w:sz="4" w:space="0"/>
            </w:tcBorders>
            <w:shd w:val="clear" w:color="auto" w:fill="auto"/>
            <w:vAlign w:val="center"/>
          </w:tcPr>
          <w:p w14:paraId="6F9A9F63">
            <w:pPr>
              <w:widowControl/>
              <w:jc w:val="left"/>
              <w:rPr>
                <w:rFonts w:ascii="宋体" w:hAnsi="宋体" w:cs="宋体"/>
                <w:color w:val="000000"/>
                <w:kern w:val="0"/>
                <w:sz w:val="28"/>
                <w:szCs w:val="28"/>
              </w:rPr>
            </w:pPr>
            <w:r>
              <w:rPr>
                <w:rFonts w:hint="eastAsia" w:ascii="宋体" w:hAnsi="宋体" w:cs="宋体"/>
                <w:color w:val="000000"/>
                <w:kern w:val="0"/>
                <w:sz w:val="28"/>
                <w:szCs w:val="28"/>
              </w:rPr>
              <w:t>构建企业服务门户统一入口应用，包括企业服务门户、资讯公告、投资招商信息、园区服务、咨询建议等。</w:t>
            </w:r>
          </w:p>
        </w:tc>
        <w:tc>
          <w:tcPr>
            <w:tcW w:w="0" w:type="auto"/>
            <w:tcBorders>
              <w:top w:val="nil"/>
              <w:left w:val="nil"/>
              <w:bottom w:val="single" w:color="auto" w:sz="4" w:space="0"/>
              <w:right w:val="single" w:color="auto" w:sz="4" w:space="0"/>
            </w:tcBorders>
            <w:shd w:val="clear" w:color="auto" w:fill="auto"/>
            <w:noWrap/>
            <w:vAlign w:val="center"/>
          </w:tcPr>
          <w:p w14:paraId="19E19C77">
            <w:pPr>
              <w:widowControl/>
              <w:jc w:val="center"/>
              <w:rPr>
                <w:rFonts w:ascii="宋体" w:hAnsi="宋体" w:cs="宋体"/>
                <w:color w:val="000000"/>
                <w:kern w:val="0"/>
                <w:sz w:val="28"/>
                <w:szCs w:val="28"/>
              </w:rPr>
            </w:pPr>
            <w:r>
              <w:rPr>
                <w:rFonts w:hint="eastAsia" w:ascii="宋体" w:hAnsi="宋体" w:cs="宋体"/>
                <w:color w:val="000000"/>
                <w:kern w:val="0"/>
                <w:sz w:val="28"/>
                <w:szCs w:val="28"/>
              </w:rPr>
              <w:t>1</w:t>
            </w:r>
          </w:p>
        </w:tc>
        <w:tc>
          <w:tcPr>
            <w:tcW w:w="0" w:type="auto"/>
            <w:tcBorders>
              <w:top w:val="nil"/>
              <w:left w:val="nil"/>
              <w:bottom w:val="single" w:color="auto" w:sz="4" w:space="0"/>
              <w:right w:val="single" w:color="auto" w:sz="4" w:space="0"/>
            </w:tcBorders>
            <w:shd w:val="clear" w:color="auto" w:fill="auto"/>
            <w:noWrap/>
            <w:vAlign w:val="center"/>
          </w:tcPr>
          <w:p w14:paraId="7F3C52AD">
            <w:pPr>
              <w:widowControl/>
              <w:jc w:val="center"/>
              <w:rPr>
                <w:rFonts w:ascii="宋体" w:hAnsi="宋体" w:cs="宋体"/>
                <w:color w:val="000000"/>
                <w:kern w:val="0"/>
                <w:sz w:val="28"/>
                <w:szCs w:val="28"/>
              </w:rPr>
            </w:pPr>
            <w:r>
              <w:rPr>
                <w:rFonts w:hint="eastAsia" w:ascii="宋体" w:hAnsi="宋体" w:cs="宋体"/>
                <w:color w:val="000000"/>
                <w:kern w:val="0"/>
                <w:sz w:val="28"/>
                <w:szCs w:val="28"/>
              </w:rPr>
              <w:t>套</w:t>
            </w:r>
          </w:p>
        </w:tc>
        <w:tc>
          <w:tcPr>
            <w:tcW w:w="0" w:type="auto"/>
            <w:tcBorders>
              <w:top w:val="nil"/>
              <w:left w:val="nil"/>
              <w:bottom w:val="single" w:color="auto" w:sz="4" w:space="0"/>
              <w:right w:val="single" w:color="auto" w:sz="4" w:space="0"/>
            </w:tcBorders>
            <w:shd w:val="clear" w:color="auto" w:fill="auto"/>
            <w:noWrap/>
            <w:vAlign w:val="center"/>
          </w:tcPr>
          <w:p w14:paraId="483CA1B2">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r>
      <w:tr w14:paraId="4A891861">
        <w:tblPrEx>
          <w:tblCellMar>
            <w:top w:w="0" w:type="dxa"/>
            <w:left w:w="108" w:type="dxa"/>
            <w:bottom w:w="0" w:type="dxa"/>
            <w:right w:w="108" w:type="dxa"/>
          </w:tblCellMar>
        </w:tblPrEx>
        <w:trPr>
          <w:trHeight w:val="499" w:hRule="atLeast"/>
        </w:trPr>
        <w:tc>
          <w:tcPr>
            <w:tcW w:w="729" w:type="dxa"/>
            <w:tcBorders>
              <w:top w:val="nil"/>
              <w:left w:val="single" w:color="auto" w:sz="4" w:space="0"/>
              <w:bottom w:val="single" w:color="auto" w:sz="4" w:space="0"/>
              <w:right w:val="single" w:color="auto" w:sz="4" w:space="0"/>
            </w:tcBorders>
            <w:shd w:val="clear" w:color="auto" w:fill="auto"/>
            <w:noWrap/>
            <w:vAlign w:val="center"/>
          </w:tcPr>
          <w:p w14:paraId="6FF9BBFB">
            <w:pPr>
              <w:widowControl/>
              <w:jc w:val="center"/>
              <w:rPr>
                <w:rFonts w:ascii="宋体" w:hAnsi="宋体" w:cs="宋体"/>
                <w:color w:val="000000"/>
                <w:kern w:val="0"/>
                <w:sz w:val="28"/>
                <w:szCs w:val="28"/>
              </w:rPr>
            </w:pPr>
            <w:r>
              <w:rPr>
                <w:rFonts w:hint="eastAsia" w:ascii="宋体" w:hAnsi="宋体" w:cs="宋体"/>
                <w:color w:val="000000"/>
                <w:kern w:val="0"/>
                <w:sz w:val="28"/>
                <w:szCs w:val="28"/>
              </w:rPr>
              <w:t>10</w:t>
            </w:r>
          </w:p>
        </w:tc>
        <w:tc>
          <w:tcPr>
            <w:tcW w:w="1789" w:type="dxa"/>
            <w:tcBorders>
              <w:top w:val="nil"/>
              <w:left w:val="nil"/>
              <w:bottom w:val="single" w:color="auto" w:sz="4" w:space="0"/>
              <w:right w:val="single" w:color="auto" w:sz="4" w:space="0"/>
            </w:tcBorders>
            <w:shd w:val="clear" w:color="auto" w:fill="auto"/>
            <w:noWrap/>
            <w:vAlign w:val="center"/>
          </w:tcPr>
          <w:p w14:paraId="5AAD80D8">
            <w:pPr>
              <w:widowControl/>
              <w:jc w:val="center"/>
              <w:rPr>
                <w:rFonts w:ascii="宋体" w:hAnsi="宋体" w:cs="宋体"/>
                <w:color w:val="000000"/>
                <w:kern w:val="0"/>
                <w:sz w:val="28"/>
                <w:szCs w:val="28"/>
              </w:rPr>
            </w:pPr>
            <w:r>
              <w:rPr>
                <w:rFonts w:hint="eastAsia" w:ascii="宋体" w:hAnsi="宋体" w:cs="宋体"/>
                <w:color w:val="000000"/>
                <w:kern w:val="0"/>
                <w:sz w:val="28"/>
                <w:szCs w:val="28"/>
              </w:rPr>
              <w:t>移动应用</w:t>
            </w:r>
          </w:p>
        </w:tc>
        <w:tc>
          <w:tcPr>
            <w:tcW w:w="4891" w:type="dxa"/>
            <w:tcBorders>
              <w:top w:val="nil"/>
              <w:left w:val="nil"/>
              <w:bottom w:val="single" w:color="auto" w:sz="4" w:space="0"/>
              <w:right w:val="single" w:color="auto" w:sz="4" w:space="0"/>
            </w:tcBorders>
            <w:shd w:val="clear" w:color="auto" w:fill="auto"/>
            <w:vAlign w:val="center"/>
          </w:tcPr>
          <w:p w14:paraId="4D34D7A1">
            <w:pPr>
              <w:widowControl/>
              <w:jc w:val="left"/>
              <w:rPr>
                <w:rFonts w:ascii="宋体" w:hAnsi="宋体" w:cs="宋体"/>
                <w:color w:val="000000"/>
                <w:kern w:val="0"/>
                <w:sz w:val="28"/>
                <w:szCs w:val="28"/>
              </w:rPr>
            </w:pPr>
            <w:r>
              <w:rPr>
                <w:rFonts w:hint="eastAsia" w:ascii="宋体" w:hAnsi="宋体" w:cs="宋体"/>
                <w:color w:val="000000"/>
                <w:kern w:val="0"/>
                <w:sz w:val="28"/>
                <w:szCs w:val="28"/>
              </w:rPr>
              <w:t>提供移动端业务应用，功能采用H5技术实现，接入政务生活app，满足用户移动办公需求。</w:t>
            </w:r>
          </w:p>
        </w:tc>
        <w:tc>
          <w:tcPr>
            <w:tcW w:w="0" w:type="auto"/>
            <w:tcBorders>
              <w:top w:val="nil"/>
              <w:left w:val="nil"/>
              <w:bottom w:val="single" w:color="auto" w:sz="4" w:space="0"/>
              <w:right w:val="single" w:color="auto" w:sz="4" w:space="0"/>
            </w:tcBorders>
            <w:shd w:val="clear" w:color="auto" w:fill="auto"/>
            <w:noWrap/>
            <w:vAlign w:val="center"/>
          </w:tcPr>
          <w:p w14:paraId="7F410A4F">
            <w:pPr>
              <w:widowControl/>
              <w:jc w:val="center"/>
              <w:rPr>
                <w:rFonts w:ascii="宋体" w:hAnsi="宋体" w:cs="宋体"/>
                <w:color w:val="000000"/>
                <w:kern w:val="0"/>
                <w:sz w:val="28"/>
                <w:szCs w:val="28"/>
              </w:rPr>
            </w:pPr>
            <w:r>
              <w:rPr>
                <w:rFonts w:hint="eastAsia" w:ascii="宋体" w:hAnsi="宋体" w:cs="宋体"/>
                <w:color w:val="000000"/>
                <w:kern w:val="0"/>
                <w:sz w:val="28"/>
                <w:szCs w:val="28"/>
              </w:rPr>
              <w:t>1</w:t>
            </w:r>
          </w:p>
        </w:tc>
        <w:tc>
          <w:tcPr>
            <w:tcW w:w="0" w:type="auto"/>
            <w:tcBorders>
              <w:top w:val="nil"/>
              <w:left w:val="nil"/>
              <w:bottom w:val="single" w:color="auto" w:sz="4" w:space="0"/>
              <w:right w:val="single" w:color="auto" w:sz="4" w:space="0"/>
            </w:tcBorders>
            <w:shd w:val="clear" w:color="auto" w:fill="auto"/>
            <w:noWrap/>
            <w:vAlign w:val="center"/>
          </w:tcPr>
          <w:p w14:paraId="7D357C32">
            <w:pPr>
              <w:widowControl/>
              <w:jc w:val="center"/>
              <w:rPr>
                <w:rFonts w:ascii="宋体" w:hAnsi="宋体" w:cs="宋体"/>
                <w:color w:val="000000"/>
                <w:kern w:val="0"/>
                <w:sz w:val="28"/>
                <w:szCs w:val="28"/>
              </w:rPr>
            </w:pPr>
            <w:r>
              <w:rPr>
                <w:rFonts w:hint="eastAsia" w:ascii="宋体" w:hAnsi="宋体" w:cs="宋体"/>
                <w:color w:val="000000"/>
                <w:kern w:val="0"/>
                <w:sz w:val="28"/>
                <w:szCs w:val="28"/>
              </w:rPr>
              <w:t>套</w:t>
            </w:r>
          </w:p>
        </w:tc>
        <w:tc>
          <w:tcPr>
            <w:tcW w:w="0" w:type="auto"/>
            <w:tcBorders>
              <w:top w:val="nil"/>
              <w:left w:val="nil"/>
              <w:bottom w:val="single" w:color="auto" w:sz="4" w:space="0"/>
              <w:right w:val="single" w:color="auto" w:sz="4" w:space="0"/>
            </w:tcBorders>
            <w:shd w:val="clear" w:color="auto" w:fill="auto"/>
            <w:noWrap/>
            <w:vAlign w:val="center"/>
          </w:tcPr>
          <w:p w14:paraId="07EA81FA">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r>
      <w:tr w14:paraId="5C292E50">
        <w:tblPrEx>
          <w:tblCellMar>
            <w:top w:w="0" w:type="dxa"/>
            <w:left w:w="108" w:type="dxa"/>
            <w:bottom w:w="0" w:type="dxa"/>
            <w:right w:w="108" w:type="dxa"/>
          </w:tblCellMar>
        </w:tblPrEx>
        <w:trPr>
          <w:trHeight w:val="499" w:hRule="atLeast"/>
        </w:trPr>
        <w:tc>
          <w:tcPr>
            <w:tcW w:w="729" w:type="dxa"/>
            <w:tcBorders>
              <w:top w:val="nil"/>
              <w:left w:val="single" w:color="auto" w:sz="4" w:space="0"/>
              <w:bottom w:val="single" w:color="auto" w:sz="4" w:space="0"/>
              <w:right w:val="single" w:color="auto" w:sz="4" w:space="0"/>
            </w:tcBorders>
            <w:shd w:val="clear" w:color="auto" w:fill="auto"/>
            <w:noWrap/>
            <w:vAlign w:val="center"/>
          </w:tcPr>
          <w:p w14:paraId="087922CC">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三、</w:t>
            </w:r>
          </w:p>
        </w:tc>
        <w:tc>
          <w:tcPr>
            <w:tcW w:w="8699" w:type="dxa"/>
            <w:gridSpan w:val="5"/>
            <w:tcBorders>
              <w:top w:val="single" w:color="auto" w:sz="4" w:space="0"/>
              <w:left w:val="nil"/>
              <w:bottom w:val="single" w:color="auto" w:sz="4" w:space="0"/>
              <w:right w:val="single" w:color="000000" w:sz="4" w:space="0"/>
            </w:tcBorders>
            <w:shd w:val="clear" w:color="auto" w:fill="auto"/>
            <w:noWrap/>
            <w:vAlign w:val="center"/>
          </w:tcPr>
          <w:p w14:paraId="2A38B29E">
            <w:pPr>
              <w:widowControl/>
              <w:jc w:val="left"/>
              <w:rPr>
                <w:rFonts w:ascii="宋体" w:hAnsi="宋体" w:cs="宋体"/>
                <w:b/>
                <w:bCs/>
                <w:color w:val="000000"/>
                <w:kern w:val="0"/>
                <w:sz w:val="28"/>
                <w:szCs w:val="28"/>
              </w:rPr>
            </w:pPr>
            <w:r>
              <w:rPr>
                <w:rFonts w:hint="eastAsia" w:ascii="宋体" w:hAnsi="宋体" w:cs="宋体"/>
                <w:b/>
                <w:bCs/>
                <w:color w:val="000000"/>
                <w:kern w:val="0"/>
                <w:sz w:val="28"/>
                <w:szCs w:val="28"/>
              </w:rPr>
              <w:t>运维服务及保障响应</w:t>
            </w:r>
          </w:p>
        </w:tc>
      </w:tr>
      <w:tr w14:paraId="13A29248">
        <w:tblPrEx>
          <w:tblCellMar>
            <w:top w:w="0" w:type="dxa"/>
            <w:left w:w="108" w:type="dxa"/>
            <w:bottom w:w="0" w:type="dxa"/>
            <w:right w:w="108" w:type="dxa"/>
          </w:tblCellMar>
        </w:tblPrEx>
        <w:trPr>
          <w:trHeight w:val="499" w:hRule="atLeast"/>
        </w:trPr>
        <w:tc>
          <w:tcPr>
            <w:tcW w:w="729" w:type="dxa"/>
            <w:tcBorders>
              <w:top w:val="nil"/>
              <w:left w:val="single" w:color="auto" w:sz="4" w:space="0"/>
              <w:bottom w:val="single" w:color="auto" w:sz="4" w:space="0"/>
              <w:right w:val="single" w:color="auto" w:sz="4" w:space="0"/>
            </w:tcBorders>
            <w:shd w:val="clear" w:color="auto" w:fill="auto"/>
            <w:noWrap/>
            <w:vAlign w:val="center"/>
          </w:tcPr>
          <w:p w14:paraId="32E2A7E0">
            <w:pPr>
              <w:widowControl/>
              <w:jc w:val="center"/>
              <w:rPr>
                <w:rFonts w:ascii="宋体" w:hAnsi="宋体" w:cs="宋体"/>
                <w:color w:val="000000"/>
                <w:kern w:val="0"/>
                <w:sz w:val="28"/>
                <w:szCs w:val="28"/>
              </w:rPr>
            </w:pPr>
            <w:r>
              <w:rPr>
                <w:rFonts w:hint="eastAsia" w:ascii="宋体" w:hAnsi="宋体" w:cs="宋体"/>
                <w:color w:val="000000"/>
                <w:kern w:val="0"/>
                <w:sz w:val="28"/>
                <w:szCs w:val="28"/>
              </w:rPr>
              <w:t>11</w:t>
            </w:r>
          </w:p>
        </w:tc>
        <w:tc>
          <w:tcPr>
            <w:tcW w:w="1789" w:type="dxa"/>
            <w:tcBorders>
              <w:top w:val="nil"/>
              <w:left w:val="nil"/>
              <w:bottom w:val="single" w:color="auto" w:sz="4" w:space="0"/>
              <w:right w:val="single" w:color="auto" w:sz="4" w:space="0"/>
            </w:tcBorders>
            <w:shd w:val="clear" w:color="auto" w:fill="auto"/>
            <w:noWrap/>
            <w:vAlign w:val="center"/>
          </w:tcPr>
          <w:p w14:paraId="3C4F1D08">
            <w:pPr>
              <w:widowControl/>
              <w:jc w:val="center"/>
              <w:rPr>
                <w:rFonts w:ascii="宋体" w:hAnsi="宋体" w:cs="宋体"/>
                <w:color w:val="000000"/>
                <w:kern w:val="0"/>
                <w:sz w:val="28"/>
                <w:szCs w:val="28"/>
              </w:rPr>
            </w:pPr>
            <w:r>
              <w:rPr>
                <w:rFonts w:hint="eastAsia" w:ascii="宋体" w:hAnsi="宋体" w:cs="宋体"/>
                <w:color w:val="000000"/>
                <w:kern w:val="0"/>
                <w:sz w:val="28"/>
                <w:szCs w:val="28"/>
              </w:rPr>
              <w:t>运维服务</w:t>
            </w:r>
          </w:p>
        </w:tc>
        <w:tc>
          <w:tcPr>
            <w:tcW w:w="4891" w:type="dxa"/>
            <w:tcBorders>
              <w:top w:val="nil"/>
              <w:left w:val="nil"/>
              <w:bottom w:val="single" w:color="auto" w:sz="4" w:space="0"/>
              <w:right w:val="single" w:color="auto" w:sz="4" w:space="0"/>
            </w:tcBorders>
            <w:shd w:val="clear" w:color="auto" w:fill="auto"/>
            <w:noWrap/>
            <w:vAlign w:val="center"/>
          </w:tcPr>
          <w:p w14:paraId="4219A1E2">
            <w:pPr>
              <w:widowControl/>
              <w:jc w:val="left"/>
              <w:rPr>
                <w:rFonts w:ascii="宋体" w:hAnsi="宋体" w:cs="宋体"/>
                <w:color w:val="000000"/>
                <w:kern w:val="0"/>
                <w:sz w:val="28"/>
                <w:szCs w:val="28"/>
              </w:rPr>
            </w:pPr>
            <w:r>
              <w:rPr>
                <w:rFonts w:hint="eastAsia" w:ascii="宋体" w:hAnsi="宋体" w:cs="宋体"/>
                <w:color w:val="000000"/>
                <w:kern w:val="0"/>
                <w:sz w:val="28"/>
                <w:szCs w:val="28"/>
              </w:rPr>
              <w:t>整体平台的运维服务和保障响应</w:t>
            </w:r>
          </w:p>
        </w:tc>
        <w:tc>
          <w:tcPr>
            <w:tcW w:w="0" w:type="auto"/>
            <w:tcBorders>
              <w:top w:val="nil"/>
              <w:left w:val="nil"/>
              <w:bottom w:val="single" w:color="auto" w:sz="4" w:space="0"/>
              <w:right w:val="single" w:color="auto" w:sz="4" w:space="0"/>
            </w:tcBorders>
            <w:shd w:val="clear" w:color="auto" w:fill="auto"/>
            <w:noWrap/>
            <w:vAlign w:val="center"/>
          </w:tcPr>
          <w:p w14:paraId="6C643D1B">
            <w:pPr>
              <w:widowControl/>
              <w:jc w:val="center"/>
              <w:rPr>
                <w:rFonts w:ascii="宋体" w:hAnsi="宋体" w:cs="宋体"/>
                <w:color w:val="000000"/>
                <w:kern w:val="0"/>
                <w:sz w:val="28"/>
                <w:szCs w:val="28"/>
              </w:rPr>
            </w:pPr>
            <w:r>
              <w:rPr>
                <w:rFonts w:hint="eastAsia" w:ascii="宋体" w:hAnsi="宋体" w:cs="宋体"/>
                <w:color w:val="000000"/>
                <w:kern w:val="0"/>
                <w:sz w:val="28"/>
                <w:szCs w:val="28"/>
              </w:rPr>
              <w:t>3</w:t>
            </w:r>
          </w:p>
        </w:tc>
        <w:tc>
          <w:tcPr>
            <w:tcW w:w="0" w:type="auto"/>
            <w:tcBorders>
              <w:top w:val="nil"/>
              <w:left w:val="nil"/>
              <w:bottom w:val="single" w:color="auto" w:sz="4" w:space="0"/>
              <w:right w:val="single" w:color="auto" w:sz="4" w:space="0"/>
            </w:tcBorders>
            <w:shd w:val="clear" w:color="auto" w:fill="auto"/>
            <w:noWrap/>
            <w:vAlign w:val="center"/>
          </w:tcPr>
          <w:p w14:paraId="5C892520">
            <w:pPr>
              <w:widowControl/>
              <w:jc w:val="center"/>
              <w:rPr>
                <w:rFonts w:ascii="宋体" w:hAnsi="宋体" w:cs="宋体"/>
                <w:color w:val="000000"/>
                <w:kern w:val="0"/>
                <w:sz w:val="28"/>
                <w:szCs w:val="28"/>
              </w:rPr>
            </w:pPr>
            <w:r>
              <w:rPr>
                <w:rFonts w:hint="eastAsia" w:ascii="宋体" w:hAnsi="宋体" w:cs="宋体"/>
                <w:color w:val="000000"/>
                <w:kern w:val="0"/>
                <w:sz w:val="28"/>
                <w:szCs w:val="28"/>
              </w:rPr>
              <w:t>年</w:t>
            </w:r>
          </w:p>
        </w:tc>
        <w:tc>
          <w:tcPr>
            <w:tcW w:w="0" w:type="auto"/>
            <w:tcBorders>
              <w:top w:val="nil"/>
              <w:left w:val="nil"/>
              <w:bottom w:val="single" w:color="auto" w:sz="4" w:space="0"/>
              <w:right w:val="single" w:color="auto" w:sz="4" w:space="0"/>
            </w:tcBorders>
            <w:shd w:val="clear" w:color="auto" w:fill="auto"/>
            <w:noWrap/>
            <w:vAlign w:val="center"/>
          </w:tcPr>
          <w:p w14:paraId="14622142">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r>
      <w:tr w14:paraId="6F527005">
        <w:tblPrEx>
          <w:tblCellMar>
            <w:top w:w="0" w:type="dxa"/>
            <w:left w:w="108" w:type="dxa"/>
            <w:bottom w:w="0" w:type="dxa"/>
            <w:right w:w="108" w:type="dxa"/>
          </w:tblCellMar>
        </w:tblPrEx>
        <w:trPr>
          <w:trHeight w:val="499" w:hRule="atLeast"/>
        </w:trPr>
        <w:tc>
          <w:tcPr>
            <w:tcW w:w="729" w:type="dxa"/>
            <w:tcBorders>
              <w:top w:val="nil"/>
              <w:left w:val="single" w:color="auto" w:sz="4" w:space="0"/>
              <w:bottom w:val="single" w:color="auto" w:sz="4" w:space="0"/>
              <w:right w:val="single" w:color="auto" w:sz="4" w:space="0"/>
            </w:tcBorders>
            <w:shd w:val="clear" w:color="auto" w:fill="auto"/>
            <w:noWrap/>
            <w:vAlign w:val="center"/>
          </w:tcPr>
          <w:p w14:paraId="5ED29B90">
            <w:pPr>
              <w:widowControl/>
              <w:jc w:val="center"/>
              <w:rPr>
                <w:rFonts w:ascii="宋体" w:hAnsi="宋体" w:cs="宋体"/>
                <w:color w:val="000000"/>
                <w:kern w:val="0"/>
                <w:sz w:val="28"/>
                <w:szCs w:val="28"/>
              </w:rPr>
            </w:pPr>
            <w:r>
              <w:rPr>
                <w:rFonts w:hint="eastAsia" w:ascii="宋体" w:hAnsi="宋体" w:cs="宋体"/>
                <w:color w:val="000000"/>
                <w:kern w:val="0"/>
                <w:sz w:val="28"/>
                <w:szCs w:val="28"/>
              </w:rPr>
              <w:t>12</w:t>
            </w:r>
          </w:p>
        </w:tc>
        <w:tc>
          <w:tcPr>
            <w:tcW w:w="1789" w:type="dxa"/>
            <w:tcBorders>
              <w:top w:val="nil"/>
              <w:left w:val="nil"/>
              <w:bottom w:val="single" w:color="auto" w:sz="4" w:space="0"/>
              <w:right w:val="single" w:color="auto" w:sz="4" w:space="0"/>
            </w:tcBorders>
            <w:shd w:val="clear" w:color="auto" w:fill="auto"/>
            <w:noWrap/>
            <w:vAlign w:val="center"/>
          </w:tcPr>
          <w:p w14:paraId="50A6C11F">
            <w:pPr>
              <w:widowControl/>
              <w:jc w:val="center"/>
              <w:rPr>
                <w:rFonts w:ascii="宋体" w:hAnsi="宋体" w:cs="宋体"/>
                <w:color w:val="000000"/>
                <w:kern w:val="0"/>
                <w:sz w:val="28"/>
                <w:szCs w:val="28"/>
              </w:rPr>
            </w:pPr>
            <w:r>
              <w:rPr>
                <w:rFonts w:hint="eastAsia" w:ascii="宋体" w:hAnsi="宋体" w:cs="宋体"/>
                <w:color w:val="000000"/>
                <w:kern w:val="0"/>
                <w:sz w:val="28"/>
                <w:szCs w:val="28"/>
              </w:rPr>
              <w:t>保障响应</w:t>
            </w:r>
          </w:p>
        </w:tc>
        <w:tc>
          <w:tcPr>
            <w:tcW w:w="4891" w:type="dxa"/>
            <w:tcBorders>
              <w:top w:val="nil"/>
              <w:left w:val="nil"/>
              <w:bottom w:val="single" w:color="auto" w:sz="4" w:space="0"/>
              <w:right w:val="single" w:color="auto" w:sz="4" w:space="0"/>
            </w:tcBorders>
            <w:shd w:val="clear" w:color="auto" w:fill="auto"/>
            <w:noWrap/>
            <w:vAlign w:val="center"/>
          </w:tcPr>
          <w:p w14:paraId="284BABFD">
            <w:pPr>
              <w:widowControl/>
              <w:jc w:val="left"/>
              <w:rPr>
                <w:rFonts w:ascii="宋体" w:hAnsi="宋体" w:cs="宋体"/>
                <w:color w:val="000000"/>
                <w:kern w:val="0"/>
                <w:sz w:val="28"/>
                <w:szCs w:val="28"/>
              </w:rPr>
            </w:pPr>
            <w:r>
              <w:rPr>
                <w:rFonts w:hint="eastAsia" w:ascii="宋体" w:hAnsi="宋体" w:cs="宋体"/>
                <w:color w:val="000000"/>
                <w:kern w:val="0"/>
                <w:sz w:val="28"/>
                <w:szCs w:val="28"/>
              </w:rPr>
              <w:t>整体平台的保障响应</w:t>
            </w:r>
          </w:p>
        </w:tc>
        <w:tc>
          <w:tcPr>
            <w:tcW w:w="0" w:type="auto"/>
            <w:tcBorders>
              <w:top w:val="nil"/>
              <w:left w:val="nil"/>
              <w:bottom w:val="single" w:color="auto" w:sz="4" w:space="0"/>
              <w:right w:val="single" w:color="auto" w:sz="4" w:space="0"/>
            </w:tcBorders>
            <w:shd w:val="clear" w:color="auto" w:fill="auto"/>
            <w:noWrap/>
            <w:vAlign w:val="center"/>
          </w:tcPr>
          <w:p w14:paraId="7A11C7B2">
            <w:pPr>
              <w:widowControl/>
              <w:jc w:val="center"/>
              <w:rPr>
                <w:rFonts w:ascii="宋体" w:hAnsi="宋体" w:cs="宋体"/>
                <w:color w:val="000000"/>
                <w:kern w:val="0"/>
                <w:sz w:val="28"/>
                <w:szCs w:val="28"/>
              </w:rPr>
            </w:pPr>
            <w:r>
              <w:rPr>
                <w:rFonts w:hint="eastAsia" w:ascii="宋体" w:hAnsi="宋体" w:cs="宋体"/>
                <w:color w:val="000000"/>
                <w:kern w:val="0"/>
                <w:sz w:val="28"/>
                <w:szCs w:val="28"/>
              </w:rPr>
              <w:t>3</w:t>
            </w:r>
          </w:p>
        </w:tc>
        <w:tc>
          <w:tcPr>
            <w:tcW w:w="0" w:type="auto"/>
            <w:tcBorders>
              <w:top w:val="nil"/>
              <w:left w:val="nil"/>
              <w:bottom w:val="single" w:color="auto" w:sz="4" w:space="0"/>
              <w:right w:val="single" w:color="auto" w:sz="4" w:space="0"/>
            </w:tcBorders>
            <w:shd w:val="clear" w:color="auto" w:fill="auto"/>
            <w:noWrap/>
            <w:vAlign w:val="center"/>
          </w:tcPr>
          <w:p w14:paraId="1727001C">
            <w:pPr>
              <w:widowControl/>
              <w:jc w:val="center"/>
              <w:rPr>
                <w:rFonts w:ascii="宋体" w:hAnsi="宋体" w:cs="宋体"/>
                <w:color w:val="000000"/>
                <w:kern w:val="0"/>
                <w:sz w:val="28"/>
                <w:szCs w:val="28"/>
              </w:rPr>
            </w:pPr>
            <w:r>
              <w:rPr>
                <w:rFonts w:hint="eastAsia" w:ascii="宋体" w:hAnsi="宋体" w:cs="宋体"/>
                <w:color w:val="000000"/>
                <w:kern w:val="0"/>
                <w:sz w:val="28"/>
                <w:szCs w:val="28"/>
              </w:rPr>
              <w:t>年</w:t>
            </w:r>
          </w:p>
        </w:tc>
        <w:tc>
          <w:tcPr>
            <w:tcW w:w="0" w:type="auto"/>
            <w:tcBorders>
              <w:top w:val="nil"/>
              <w:left w:val="nil"/>
              <w:bottom w:val="single" w:color="auto" w:sz="4" w:space="0"/>
              <w:right w:val="single" w:color="auto" w:sz="4" w:space="0"/>
            </w:tcBorders>
            <w:shd w:val="clear" w:color="auto" w:fill="auto"/>
            <w:noWrap/>
            <w:vAlign w:val="center"/>
          </w:tcPr>
          <w:p w14:paraId="4E3C032B">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r>
    </w:tbl>
    <w:p w14:paraId="412532A9">
      <w:pPr>
        <w:pStyle w:val="8"/>
        <w:numPr>
          <w:ilvl w:val="0"/>
          <w:numId w:val="4"/>
        </w:numPr>
        <w:spacing w:after="0"/>
        <w:jc w:val="center"/>
        <w:rPr>
          <w:sz w:val="32"/>
        </w:rPr>
      </w:pPr>
      <w:bookmarkStart w:id="1" w:name="_Toc497747029"/>
      <w:r>
        <w:rPr>
          <w:rFonts w:hint="eastAsia"/>
          <w:sz w:val="32"/>
        </w:rPr>
        <w:t>服务需求</w:t>
      </w:r>
      <w:bookmarkEnd w:id="1"/>
    </w:p>
    <w:p w14:paraId="61EE1ADD">
      <w:pPr>
        <w:pStyle w:val="8"/>
        <w:spacing w:after="0"/>
        <w:jc w:val="center"/>
        <w:rPr>
          <w:sz w:val="32"/>
        </w:rPr>
      </w:pPr>
    </w:p>
    <w:p w14:paraId="7889998D">
      <w:pPr>
        <w:pStyle w:val="4"/>
        <w:numPr>
          <w:ilvl w:val="0"/>
          <w:numId w:val="5"/>
        </w:numPr>
      </w:pPr>
      <w:r>
        <w:rPr>
          <w:rFonts w:hint="eastAsia"/>
        </w:rPr>
        <w:t>项目概述</w:t>
      </w:r>
    </w:p>
    <w:p w14:paraId="51D4BF57">
      <w:pPr>
        <w:pStyle w:val="18"/>
        <w:widowControl/>
        <w:shd w:val="clear" w:color="auto" w:fill="FFFFFF"/>
        <w:spacing w:before="0" w:beforeAutospacing="0" w:after="0" w:afterAutospacing="0" w:line="540" w:lineRule="atLeast"/>
        <w:ind w:firstLine="480"/>
        <w:jc w:val="left"/>
        <w:rPr>
          <w:rFonts w:ascii="宋体" w:hAnsi="宋体" w:cs="宋体"/>
          <w:shd w:val="clear" w:color="auto" w:fill="FFFFFF"/>
        </w:rPr>
      </w:pPr>
      <w:r>
        <w:rPr>
          <w:rFonts w:hint="eastAsia" w:ascii="宋体" w:hAnsi="宋体" w:cs="宋体"/>
          <w:shd w:val="clear" w:color="auto" w:fill="FFFFFF"/>
        </w:rPr>
        <w:t>在区域经济竞争日益激烈的形势下，产业、项目与招商已成为推动县域经济发展的核心引擎和关键力量。</w:t>
      </w:r>
      <w:r>
        <w:rPr>
          <w:rFonts w:ascii="宋体" w:hAnsi="宋体" w:cs="宋体"/>
          <w:shd w:val="clear" w:color="auto" w:fill="FFFFFF"/>
        </w:rPr>
        <w:t>罗甸县</w:t>
      </w:r>
      <w:r>
        <w:rPr>
          <w:rFonts w:hint="eastAsia" w:ascii="宋体" w:hAnsi="宋体" w:cs="宋体"/>
          <w:shd w:val="clear" w:color="auto" w:fill="FFFFFF"/>
        </w:rPr>
        <w:t>积极响应贵州省、黔南州发展战略要求与工作部署安排</w:t>
      </w:r>
      <w:r>
        <w:rPr>
          <w:rFonts w:ascii="宋体" w:hAnsi="宋体" w:cs="宋体"/>
          <w:shd w:val="clear" w:color="auto" w:fill="FFFFFF"/>
        </w:rPr>
        <w:t>，</w:t>
      </w:r>
      <w:r>
        <w:rPr>
          <w:rFonts w:hint="eastAsia" w:ascii="宋体" w:hAnsi="宋体" w:cs="宋体"/>
          <w:shd w:val="clear" w:color="auto" w:fill="FFFFFF"/>
        </w:rPr>
        <w:t>全面落实全省抓产业、抓项目、抓招商推进会精神，借助贵州罗甸经济开发区设立契机，运用数字化手段重塑产业发展新格局、打造发展新优势，奋力谱写罗甸高质量发展和现代化建设新篇章。</w:t>
      </w:r>
    </w:p>
    <w:p w14:paraId="69BD5607">
      <w:pPr>
        <w:pStyle w:val="18"/>
        <w:widowControl/>
        <w:shd w:val="clear" w:color="auto" w:fill="FFFFFF"/>
        <w:spacing w:before="0" w:beforeAutospacing="0" w:after="0" w:afterAutospacing="0" w:line="540" w:lineRule="atLeast"/>
        <w:ind w:firstLine="480"/>
        <w:jc w:val="left"/>
        <w:rPr>
          <w:rFonts w:ascii="宋体" w:hAnsi="宋体" w:cs="宋体"/>
          <w:shd w:val="clear" w:color="auto" w:fill="FFFFFF"/>
        </w:rPr>
      </w:pPr>
      <w:r>
        <w:rPr>
          <w:rFonts w:hint="eastAsia" w:ascii="宋体" w:hAnsi="宋体" w:cs="宋体"/>
          <w:shd w:val="clear" w:color="auto" w:fill="FFFFFF"/>
        </w:rPr>
        <w:t>罗甸县工业园区管委会立足县域产业升级需求，整合“一图三清单”产业相关数据资源，运用大数据、云计算等信息技术，构建涵盖“招商-产业-项目”全链条业务管理的产业大脑平台。通过搭建公共基础支撑体系与业务应用平台，形成数据流程双向驱动的数字赋能模式，</w:t>
      </w:r>
      <w:r>
        <w:rPr>
          <w:rFonts w:ascii="宋体" w:hAnsi="宋体" w:cs="宋体"/>
          <w:shd w:val="clear" w:color="auto" w:fill="FFFFFF"/>
        </w:rPr>
        <w:t>打破部门数据壁垒、提升跨系统协同效率、创新政企互动场景，</w:t>
      </w:r>
      <w:r>
        <w:rPr>
          <w:rFonts w:hint="eastAsia" w:ascii="宋体" w:hAnsi="宋体" w:cs="宋体"/>
          <w:shd w:val="clear" w:color="auto" w:fill="FFFFFF"/>
        </w:rPr>
        <w:t>实现招商引资精准化、项目建设高效化、企业服务精细化、产业治理科学化，为罗甸县产业高质量发展注入新动能。</w:t>
      </w:r>
    </w:p>
    <w:p w14:paraId="1F9A3A30">
      <w:pPr>
        <w:pStyle w:val="4"/>
        <w:numPr>
          <w:ilvl w:val="0"/>
          <w:numId w:val="5"/>
        </w:numPr>
      </w:pPr>
      <w:r>
        <w:rPr>
          <w:rFonts w:hint="eastAsia"/>
        </w:rPr>
        <w:t>建设内容</w:t>
      </w:r>
    </w:p>
    <w:p w14:paraId="7AB70FA3">
      <w:pPr>
        <w:pStyle w:val="18"/>
        <w:widowControl/>
        <w:shd w:val="clear" w:color="auto" w:fill="FFFFFF"/>
        <w:spacing w:before="0" w:beforeAutospacing="0" w:after="0" w:afterAutospacing="0" w:line="540" w:lineRule="atLeast"/>
        <w:ind w:firstLine="480"/>
        <w:jc w:val="left"/>
        <w:rPr>
          <w:rFonts w:ascii="宋体" w:hAnsi="宋体" w:cs="宋体"/>
          <w:shd w:val="clear" w:color="auto" w:fill="FFFFFF"/>
        </w:rPr>
      </w:pPr>
      <w:r>
        <w:rPr>
          <w:rFonts w:hint="eastAsia" w:ascii="宋体" w:hAnsi="宋体" w:cs="宋体"/>
          <w:shd w:val="clear" w:color="auto" w:fill="FFFFFF"/>
        </w:rPr>
        <w:t>本项目首期建设内容：</w:t>
      </w:r>
    </w:p>
    <w:p w14:paraId="5BDFD600">
      <w:pPr>
        <w:pStyle w:val="18"/>
        <w:widowControl/>
        <w:shd w:val="clear" w:color="auto" w:fill="FFFFFF"/>
        <w:spacing w:before="0" w:beforeAutospacing="0" w:after="0" w:afterAutospacing="0" w:line="540" w:lineRule="atLeast"/>
        <w:ind w:firstLine="480"/>
        <w:jc w:val="left"/>
        <w:rPr>
          <w:rFonts w:ascii="宋体" w:hAnsi="宋体" w:cs="宋体"/>
          <w:shd w:val="clear" w:color="auto" w:fill="FFFFFF"/>
        </w:rPr>
      </w:pPr>
      <w:r>
        <w:rPr>
          <w:rFonts w:hint="eastAsia" w:ascii="宋体" w:hAnsi="宋体" w:cs="宋体"/>
          <w:shd w:val="clear" w:color="auto" w:fill="FFFFFF"/>
        </w:rPr>
        <w:t>（1）建设罗甸县产业大脑平台的应用支撑平台，包括基础能力、服务引擎、业务服务支撑、数据服务支撑及配套硬件设备。</w:t>
      </w:r>
    </w:p>
    <w:p w14:paraId="3521AC85">
      <w:pPr>
        <w:pStyle w:val="18"/>
        <w:widowControl/>
        <w:shd w:val="clear" w:color="auto" w:fill="FFFFFF"/>
        <w:spacing w:before="0" w:beforeAutospacing="0" w:after="0" w:afterAutospacing="0" w:line="540" w:lineRule="atLeast"/>
        <w:ind w:firstLine="480"/>
        <w:jc w:val="left"/>
        <w:rPr>
          <w:rFonts w:ascii="宋体" w:hAnsi="宋体" w:cs="宋体"/>
          <w:shd w:val="clear" w:color="auto" w:fill="FFFFFF"/>
        </w:rPr>
      </w:pPr>
      <w:r>
        <w:rPr>
          <w:rFonts w:hint="eastAsia" w:ascii="宋体" w:hAnsi="宋体" w:cs="宋体"/>
          <w:shd w:val="clear" w:color="auto" w:fill="FFFFFF"/>
        </w:rPr>
        <w:t>（2）建设罗甸县产业大脑平台的业务应用平台，包括产业看板、招商看板、项目看板、企业服务门户及移动应用。</w:t>
      </w:r>
    </w:p>
    <w:p w14:paraId="67E44115">
      <w:pPr>
        <w:pStyle w:val="5"/>
        <w:numPr>
          <w:ilvl w:val="0"/>
          <w:numId w:val="0"/>
        </w:numPr>
      </w:pPr>
      <w:r>
        <w:rPr>
          <w:rFonts w:hint="eastAsia"/>
        </w:rPr>
        <w:t>2</w:t>
      </w:r>
      <w:r>
        <w:t>.1</w:t>
      </w:r>
      <w:r>
        <w:rPr>
          <w:rFonts w:hint="eastAsia"/>
        </w:rPr>
        <w:t>应用支撑平台</w:t>
      </w:r>
    </w:p>
    <w:p w14:paraId="3AA1A982">
      <w:pPr>
        <w:pStyle w:val="6"/>
      </w:pPr>
      <w:r>
        <w:rPr>
          <w:rFonts w:hint="eastAsia"/>
        </w:rPr>
        <w:t>2</w:t>
      </w:r>
      <w:r>
        <w:t>.1.1</w:t>
      </w:r>
      <w:r>
        <w:rPr>
          <w:rFonts w:hint="eastAsia"/>
        </w:rPr>
        <w:t>基础能力</w:t>
      </w:r>
    </w:p>
    <w:p w14:paraId="66F0A2C3">
      <w:pPr>
        <w:pStyle w:val="18"/>
        <w:widowControl/>
        <w:shd w:val="clear" w:color="auto" w:fill="FFFFFF"/>
        <w:spacing w:before="0" w:beforeAutospacing="0" w:after="0" w:afterAutospacing="0" w:line="540" w:lineRule="atLeast"/>
        <w:ind w:firstLine="480"/>
        <w:jc w:val="left"/>
        <w:rPr>
          <w:rFonts w:ascii="宋体" w:hAnsi="宋体" w:cs="宋体"/>
          <w:shd w:val="clear" w:color="auto" w:fill="FFFFFF"/>
        </w:rPr>
      </w:pPr>
      <w:r>
        <w:rPr>
          <w:rFonts w:hint="eastAsia" w:ascii="宋体" w:hAnsi="宋体" w:cs="宋体"/>
          <w:shd w:val="clear" w:color="auto" w:fill="FFFFFF"/>
        </w:rPr>
        <w:t>为罗甸县产业大脑平台提供基础支撑服务管理，包含统一身份认证、统一消息服务、统一文件服务、统一缓存服务、统一日志服管理等。</w:t>
      </w:r>
    </w:p>
    <w:p w14:paraId="38A0F812">
      <w:pPr>
        <w:pStyle w:val="18"/>
        <w:widowControl/>
        <w:shd w:val="clear" w:color="auto" w:fill="FFFFFF"/>
        <w:spacing w:before="0" w:beforeAutospacing="0" w:after="0" w:afterAutospacing="0" w:line="540" w:lineRule="atLeast"/>
        <w:ind w:firstLine="480"/>
        <w:jc w:val="left"/>
        <w:rPr>
          <w:rFonts w:ascii="宋体" w:hAnsi="宋体" w:cs="宋体"/>
          <w:shd w:val="clear" w:color="auto" w:fill="FFFFFF"/>
        </w:rPr>
      </w:pPr>
      <w:r>
        <w:rPr>
          <w:rFonts w:hint="eastAsia" w:ascii="宋体" w:hAnsi="宋体" w:cs="宋体"/>
          <w:shd w:val="clear" w:color="auto" w:fill="FFFFFF"/>
        </w:rPr>
        <w:t>统一身份认证：支持PC端、移动端、大屏端单点登录，兼容用户名/密码等认证方式，对接“政务生活APP”实现统一登录。</w:t>
      </w:r>
    </w:p>
    <w:p w14:paraId="12598D3A">
      <w:pPr>
        <w:pStyle w:val="18"/>
        <w:widowControl/>
        <w:shd w:val="clear" w:color="auto" w:fill="FFFFFF"/>
        <w:spacing w:before="0" w:beforeAutospacing="0" w:after="0" w:afterAutospacing="0" w:line="540" w:lineRule="atLeast"/>
        <w:ind w:firstLine="480"/>
        <w:jc w:val="left"/>
        <w:rPr>
          <w:rFonts w:ascii="宋体" w:hAnsi="宋体" w:cs="宋体"/>
          <w:shd w:val="clear" w:color="auto" w:fill="FFFFFF"/>
        </w:rPr>
      </w:pPr>
      <w:r>
        <w:rPr>
          <w:rFonts w:hint="eastAsia" w:ascii="宋体" w:hAnsi="宋体" w:cs="宋体"/>
          <w:shd w:val="clear" w:color="auto" w:fill="FFFFFF"/>
        </w:rPr>
        <w:t>统一消息服务：集成站内信、短信（接入运营商网关）、移动客户端消息，支持消息转发、回复、提醒及业务待办事项集中展示。</w:t>
      </w:r>
    </w:p>
    <w:p w14:paraId="108BB6E0">
      <w:pPr>
        <w:pStyle w:val="18"/>
        <w:widowControl/>
        <w:shd w:val="clear" w:color="auto" w:fill="FFFFFF"/>
        <w:spacing w:before="0" w:beforeAutospacing="0" w:after="0" w:afterAutospacing="0" w:line="540" w:lineRule="atLeast"/>
        <w:ind w:firstLine="480"/>
        <w:jc w:val="left"/>
        <w:rPr>
          <w:rFonts w:ascii="宋体" w:hAnsi="宋体" w:cs="宋体"/>
          <w:shd w:val="clear" w:color="auto" w:fill="FFFFFF"/>
        </w:rPr>
      </w:pPr>
      <w:r>
        <w:rPr>
          <w:rFonts w:hint="eastAsia" w:ascii="宋体" w:hAnsi="宋体" w:cs="宋体"/>
          <w:shd w:val="clear" w:color="auto" w:fill="FFFFFF"/>
        </w:rPr>
        <w:t>统一文件服务：搭建分布式文件系统，实现文件存储、同步、上传下载，提供API接口供开发调用。</w:t>
      </w:r>
    </w:p>
    <w:p w14:paraId="5AF369D1">
      <w:pPr>
        <w:pStyle w:val="18"/>
        <w:widowControl/>
        <w:shd w:val="clear" w:color="auto" w:fill="FFFFFF"/>
        <w:spacing w:before="0" w:beforeAutospacing="0" w:after="0" w:afterAutospacing="0" w:line="540" w:lineRule="atLeast"/>
        <w:ind w:firstLine="480"/>
        <w:jc w:val="left"/>
        <w:rPr>
          <w:rFonts w:ascii="宋体" w:hAnsi="宋体" w:cs="宋体"/>
          <w:shd w:val="clear" w:color="auto" w:fill="FFFFFF"/>
        </w:rPr>
      </w:pPr>
      <w:r>
        <w:rPr>
          <w:rFonts w:hint="eastAsia" w:ascii="宋体" w:hAnsi="宋体" w:cs="宋体"/>
          <w:shd w:val="clear" w:color="auto" w:fill="FFFFFF"/>
        </w:rPr>
        <w:t>统一缓存服务：提供分布式缓存能力，满足高并发场景下的数据快速访问需求。</w:t>
      </w:r>
    </w:p>
    <w:p w14:paraId="472F6AD7">
      <w:pPr>
        <w:pStyle w:val="18"/>
        <w:widowControl/>
        <w:shd w:val="clear" w:color="auto" w:fill="FFFFFF"/>
        <w:spacing w:before="0" w:beforeAutospacing="0" w:after="0" w:afterAutospacing="0" w:line="540" w:lineRule="atLeast"/>
        <w:ind w:firstLine="480"/>
        <w:jc w:val="left"/>
        <w:rPr>
          <w:rFonts w:ascii="宋体" w:hAnsi="宋体" w:cs="宋体"/>
          <w:shd w:val="clear" w:color="auto" w:fill="FFFFFF"/>
        </w:rPr>
      </w:pPr>
      <w:r>
        <w:rPr>
          <w:rFonts w:hint="eastAsia" w:ascii="宋体" w:hAnsi="宋体" w:cs="宋体"/>
          <w:shd w:val="clear" w:color="auto" w:fill="FFFFFF"/>
        </w:rPr>
        <w:t>统一日志管理：记录应用日志、登录日志、操作日志、短信收发日志及API接口日志。</w:t>
      </w:r>
    </w:p>
    <w:p w14:paraId="012293E0">
      <w:pPr>
        <w:pStyle w:val="6"/>
      </w:pPr>
      <w:r>
        <w:rPr>
          <w:rFonts w:hint="eastAsia"/>
        </w:rPr>
        <w:t>2</w:t>
      </w:r>
      <w:r>
        <w:t>.1.2</w:t>
      </w:r>
      <w:r>
        <w:rPr>
          <w:rFonts w:hint="eastAsia"/>
        </w:rPr>
        <w:t>服务引擎</w:t>
      </w:r>
    </w:p>
    <w:p w14:paraId="268F9CB8">
      <w:pPr>
        <w:pStyle w:val="18"/>
        <w:widowControl/>
        <w:shd w:val="clear" w:color="auto" w:fill="FFFFFF"/>
        <w:spacing w:before="0" w:beforeAutospacing="0" w:after="0" w:afterAutospacing="0" w:line="540" w:lineRule="atLeast"/>
        <w:ind w:firstLine="480"/>
        <w:jc w:val="left"/>
        <w:rPr>
          <w:rFonts w:ascii="宋体" w:hAnsi="宋体" w:cs="宋体"/>
          <w:shd w:val="clear" w:color="auto" w:fill="FFFFFF"/>
        </w:rPr>
      </w:pPr>
      <w:r>
        <w:rPr>
          <w:rFonts w:hint="eastAsia" w:ascii="宋体" w:hAnsi="宋体" w:cs="宋体"/>
          <w:shd w:val="clear" w:color="auto" w:fill="FFFFFF"/>
        </w:rPr>
        <w:t>以低代码形式提供服务引擎以提升系统开发维护效率，</w:t>
      </w:r>
      <w:r>
        <w:rPr>
          <w:rFonts w:ascii="宋体" w:hAnsi="宋体" w:cs="宋体"/>
          <w:shd w:val="clear" w:color="auto" w:fill="FFFFFF"/>
        </w:rPr>
        <w:t>支持动态适应业务需求变化，打通数据与流程壁垒</w:t>
      </w:r>
      <w:r>
        <w:rPr>
          <w:rFonts w:hint="eastAsia" w:ascii="宋体" w:hAnsi="宋体" w:cs="宋体"/>
          <w:shd w:val="clear" w:color="auto" w:fill="FFFFFF"/>
        </w:rPr>
        <w:t>，涵盖表单引擎、流程引擎、页面引擎、组织引擎等。</w:t>
      </w:r>
    </w:p>
    <w:p w14:paraId="6E7BF5FD">
      <w:pPr>
        <w:pStyle w:val="18"/>
        <w:widowControl/>
        <w:shd w:val="clear" w:color="auto" w:fill="FFFFFF"/>
        <w:spacing w:before="0" w:beforeAutospacing="0" w:after="0" w:afterAutospacing="0" w:line="540" w:lineRule="atLeast"/>
        <w:ind w:firstLine="480"/>
        <w:jc w:val="left"/>
        <w:rPr>
          <w:rFonts w:ascii="宋体" w:hAnsi="宋体" w:cs="宋体"/>
          <w:shd w:val="clear" w:color="auto" w:fill="FFFFFF"/>
        </w:rPr>
      </w:pPr>
      <w:r>
        <w:rPr>
          <w:rFonts w:hint="eastAsia" w:ascii="宋体" w:hAnsi="宋体" w:cs="宋体"/>
          <w:shd w:val="clear" w:color="auto" w:fill="FFFFFF"/>
        </w:rPr>
        <w:t>表单引擎：可视化拖拽设计电子表单，支持与纸面表单格式一致，无需编程快速生成业务表单。</w:t>
      </w:r>
    </w:p>
    <w:p w14:paraId="2498EAA1">
      <w:pPr>
        <w:pStyle w:val="18"/>
        <w:widowControl/>
        <w:shd w:val="clear" w:color="auto" w:fill="FFFFFF"/>
        <w:spacing w:before="0" w:beforeAutospacing="0" w:after="0" w:afterAutospacing="0" w:line="540" w:lineRule="atLeast"/>
        <w:ind w:firstLine="480"/>
        <w:jc w:val="left"/>
        <w:rPr>
          <w:rFonts w:ascii="宋体" w:hAnsi="宋体" w:cs="宋体"/>
          <w:shd w:val="clear" w:color="auto" w:fill="FFFFFF"/>
        </w:rPr>
      </w:pPr>
      <w:r>
        <w:rPr>
          <w:rFonts w:hint="eastAsia" w:ascii="宋体" w:hAnsi="宋体" w:cs="宋体"/>
          <w:shd w:val="clear" w:color="auto" w:fill="FFFFFF"/>
        </w:rPr>
        <w:t>流程引擎：自定义业务流程（如项目审批、任务流转），支持节点调整、无代码流程构造及生命周期管理。</w:t>
      </w:r>
    </w:p>
    <w:p w14:paraId="196DDA2A">
      <w:pPr>
        <w:pStyle w:val="18"/>
        <w:widowControl/>
        <w:shd w:val="clear" w:color="auto" w:fill="FFFFFF"/>
        <w:spacing w:before="0" w:beforeAutospacing="0" w:after="0" w:afterAutospacing="0" w:line="540" w:lineRule="atLeast"/>
        <w:ind w:firstLine="480"/>
        <w:jc w:val="left"/>
        <w:rPr>
          <w:rFonts w:ascii="宋体" w:hAnsi="宋体" w:cs="宋体"/>
          <w:shd w:val="clear" w:color="auto" w:fill="FFFFFF"/>
        </w:rPr>
      </w:pPr>
      <w:r>
        <w:rPr>
          <w:rFonts w:hint="eastAsia" w:ascii="宋体" w:hAnsi="宋体" w:cs="宋体"/>
          <w:shd w:val="clear" w:color="auto" w:fill="FFFFFF"/>
        </w:rPr>
        <w:t>页面引擎：通过图形化设计器组装业务功能页面，支持视图、导航条、表单等组件配置。</w:t>
      </w:r>
    </w:p>
    <w:p w14:paraId="26572F29">
      <w:pPr>
        <w:pStyle w:val="18"/>
        <w:widowControl/>
        <w:shd w:val="clear" w:color="auto" w:fill="FFFFFF"/>
        <w:spacing w:before="0" w:beforeAutospacing="0" w:after="0" w:afterAutospacing="0" w:line="540" w:lineRule="atLeast"/>
        <w:ind w:firstLine="480"/>
        <w:jc w:val="left"/>
        <w:rPr>
          <w:rFonts w:ascii="宋体" w:hAnsi="宋体" w:cs="宋体"/>
          <w:shd w:val="clear" w:color="auto" w:fill="FFFFFF"/>
        </w:rPr>
      </w:pPr>
      <w:r>
        <w:rPr>
          <w:rFonts w:hint="eastAsia" w:ascii="宋体" w:hAnsi="宋体" w:cs="宋体"/>
          <w:shd w:val="clear" w:color="auto" w:fill="FFFFFF"/>
        </w:rPr>
        <w:t>组织引擎：管理机构、部门、岗位、人员等组织架构，支持多维权限控制（栏目、菜单、数据权限）及分级授权。</w:t>
      </w:r>
    </w:p>
    <w:p w14:paraId="79B910AE">
      <w:pPr>
        <w:pStyle w:val="6"/>
      </w:pPr>
      <w:r>
        <w:rPr>
          <w:rFonts w:hint="eastAsia"/>
        </w:rPr>
        <w:t>2</w:t>
      </w:r>
      <w:r>
        <w:t>.1.3</w:t>
      </w:r>
      <w:r>
        <w:rPr>
          <w:rFonts w:hint="eastAsia"/>
        </w:rPr>
        <w:t>业务服务支撑</w:t>
      </w:r>
    </w:p>
    <w:p w14:paraId="4BC1ECC7">
      <w:pPr>
        <w:pStyle w:val="18"/>
        <w:widowControl/>
        <w:shd w:val="clear" w:color="auto" w:fill="FFFFFF"/>
        <w:spacing w:before="0" w:beforeAutospacing="0" w:after="0" w:afterAutospacing="0" w:line="540" w:lineRule="atLeast"/>
        <w:ind w:firstLine="480"/>
        <w:jc w:val="left"/>
        <w:rPr>
          <w:rFonts w:ascii="宋体" w:hAnsi="宋体" w:cs="宋体"/>
          <w:shd w:val="clear" w:color="auto" w:fill="FFFFFF"/>
        </w:rPr>
      </w:pPr>
      <w:r>
        <w:rPr>
          <w:rFonts w:hint="eastAsia" w:ascii="宋体" w:hAnsi="宋体" w:cs="宋体"/>
          <w:shd w:val="clear" w:color="auto" w:fill="FFFFFF"/>
        </w:rPr>
        <w:t>业务服务支撑是罗甸县产业大脑平台连接公共基础能力与业务应用的关键枢纽，业务服务支撑涵盖项目类型管理、项目阶段管理、审批流程图配置管理等。</w:t>
      </w:r>
    </w:p>
    <w:p w14:paraId="69A57B03">
      <w:pPr>
        <w:pStyle w:val="18"/>
        <w:widowControl/>
        <w:shd w:val="clear" w:color="auto" w:fill="FFFFFF"/>
        <w:spacing w:before="0" w:beforeAutospacing="0" w:after="0" w:afterAutospacing="0" w:line="540" w:lineRule="atLeast"/>
        <w:ind w:firstLine="480"/>
        <w:jc w:val="left"/>
        <w:rPr>
          <w:rFonts w:ascii="宋体" w:hAnsi="宋体" w:cs="宋体"/>
          <w:shd w:val="clear" w:color="auto" w:fill="FFFFFF"/>
        </w:rPr>
      </w:pPr>
      <w:r>
        <w:rPr>
          <w:rFonts w:hint="eastAsia" w:ascii="宋体" w:hAnsi="宋体" w:cs="宋体"/>
          <w:shd w:val="clear" w:color="auto" w:fill="FFFFFF"/>
        </w:rPr>
        <w:t>项目类型管理：用于定义不同的项目类型，业务管理员可以配置项目类型与产业类型之间的关系。</w:t>
      </w:r>
    </w:p>
    <w:p w14:paraId="0C6D1170">
      <w:pPr>
        <w:pStyle w:val="18"/>
        <w:widowControl/>
        <w:shd w:val="clear" w:color="auto" w:fill="FFFFFF"/>
        <w:spacing w:before="0" w:beforeAutospacing="0" w:after="0" w:afterAutospacing="0" w:line="540" w:lineRule="atLeast"/>
        <w:ind w:firstLine="480"/>
        <w:jc w:val="left"/>
        <w:rPr>
          <w:rFonts w:ascii="宋体" w:hAnsi="宋体" w:cs="宋体"/>
          <w:shd w:val="clear" w:color="auto" w:fill="FFFFFF"/>
        </w:rPr>
      </w:pPr>
      <w:r>
        <w:rPr>
          <w:rFonts w:hint="eastAsia" w:ascii="宋体" w:hAnsi="宋体" w:cs="宋体"/>
          <w:shd w:val="clear" w:color="auto" w:fill="FFFFFF"/>
        </w:rPr>
        <w:t>项目阶段管理：用于定义项目全生命周期涉及的阶段以及各个阶段相关属性信息，包括项目阶段类型、项目阶段时限、里程碑标识等。</w:t>
      </w:r>
    </w:p>
    <w:p w14:paraId="4F42A604">
      <w:pPr>
        <w:pStyle w:val="18"/>
        <w:widowControl/>
        <w:shd w:val="clear" w:color="auto" w:fill="FFFFFF"/>
        <w:spacing w:before="0" w:beforeAutospacing="0" w:after="0" w:afterAutospacing="0" w:line="540" w:lineRule="atLeast"/>
        <w:ind w:firstLine="480"/>
        <w:jc w:val="left"/>
        <w:rPr>
          <w:rFonts w:ascii="宋体" w:hAnsi="宋体" w:cs="宋体"/>
          <w:shd w:val="clear" w:color="auto" w:fill="FFFFFF"/>
        </w:rPr>
      </w:pPr>
      <w:r>
        <w:rPr>
          <w:rFonts w:hint="eastAsia" w:ascii="宋体" w:hAnsi="宋体" w:cs="宋体"/>
          <w:shd w:val="clear" w:color="auto" w:fill="FFFFFF"/>
        </w:rPr>
        <w:t>审批流程图配置管理：支持定义不同的项目类型与项目阶段、项目事项之间的关系，通过这些要素的组合配置生成项目审批流程图。</w:t>
      </w:r>
    </w:p>
    <w:p w14:paraId="4AE7C75C">
      <w:pPr>
        <w:pStyle w:val="6"/>
      </w:pPr>
      <w:r>
        <w:t>2.1.4</w:t>
      </w:r>
      <w:r>
        <w:rPr>
          <w:rFonts w:hint="eastAsia"/>
        </w:rPr>
        <w:t>数据支撑服务</w:t>
      </w:r>
    </w:p>
    <w:p w14:paraId="38D80171">
      <w:pPr>
        <w:pStyle w:val="18"/>
        <w:widowControl/>
        <w:shd w:val="clear" w:color="auto" w:fill="FFFFFF"/>
        <w:spacing w:before="0" w:beforeAutospacing="0" w:after="0" w:afterAutospacing="0" w:line="540" w:lineRule="atLeast"/>
        <w:ind w:firstLine="480"/>
        <w:jc w:val="left"/>
        <w:rPr>
          <w:rFonts w:ascii="宋体" w:hAnsi="宋体" w:cs="宋体"/>
          <w:shd w:val="clear" w:color="auto" w:fill="FFFFFF"/>
        </w:rPr>
      </w:pPr>
      <w:r>
        <w:rPr>
          <w:rFonts w:hint="eastAsia" w:ascii="宋体" w:hAnsi="宋体" w:cs="宋体"/>
          <w:shd w:val="clear" w:color="auto" w:fill="FFFFFF"/>
        </w:rPr>
        <w:t>公域数据服务对接：接入第三方数据服务（如企查查），实现企业基本信息、资质、专利、风险等数据实时查询，每年提供 500 家企业风险评估、数据分析报告及 10 万次查询额度。</w:t>
      </w:r>
    </w:p>
    <w:p w14:paraId="51BC30E7">
      <w:pPr>
        <w:pStyle w:val="6"/>
      </w:pPr>
      <w:r>
        <w:rPr>
          <w:rFonts w:hint="eastAsia"/>
        </w:rPr>
        <w:t>2</w:t>
      </w:r>
      <w:r>
        <w:t>.1.5</w:t>
      </w:r>
      <w:r>
        <w:rPr>
          <w:rFonts w:hint="eastAsia"/>
        </w:rPr>
        <w:t>配套硬件设备等支撑</w:t>
      </w:r>
    </w:p>
    <w:p w14:paraId="3BACFA7D">
      <w:pPr>
        <w:pStyle w:val="18"/>
        <w:widowControl/>
        <w:shd w:val="clear" w:color="auto" w:fill="FFFFFF"/>
        <w:spacing w:before="0" w:beforeAutospacing="0" w:after="0" w:afterAutospacing="0" w:line="540" w:lineRule="atLeast"/>
        <w:ind w:firstLine="480"/>
        <w:jc w:val="left"/>
        <w:rPr>
          <w:rFonts w:ascii="宋体" w:hAnsi="宋体" w:cs="宋体"/>
          <w:shd w:val="clear" w:color="auto" w:fill="FFFFFF"/>
        </w:rPr>
      </w:pPr>
      <w:r>
        <w:rPr>
          <w:rFonts w:hint="eastAsia" w:ascii="宋体" w:hAnsi="宋体" w:cs="宋体"/>
          <w:shd w:val="clear" w:color="auto" w:fill="FFFFFF"/>
        </w:rPr>
        <w:t>提供相关配合硬件设备等支撑，包括可移动智慧显示屏、政务云资源支撑、网络与安全等。</w:t>
      </w:r>
    </w:p>
    <w:p w14:paraId="76126ED0">
      <w:pPr>
        <w:pStyle w:val="18"/>
        <w:widowControl/>
        <w:shd w:val="clear" w:color="auto" w:fill="FFFFFF"/>
        <w:spacing w:before="0" w:beforeAutospacing="0" w:after="0" w:afterAutospacing="0" w:line="540" w:lineRule="atLeast"/>
        <w:ind w:firstLine="480"/>
        <w:jc w:val="left"/>
        <w:rPr>
          <w:rFonts w:ascii="宋体" w:hAnsi="宋体" w:cs="宋体"/>
          <w:shd w:val="clear" w:color="auto" w:fill="FFFFFF"/>
        </w:rPr>
      </w:pPr>
      <w:r>
        <w:rPr>
          <w:rFonts w:hint="eastAsia" w:ascii="宋体" w:hAnsi="宋体" w:cs="宋体"/>
          <w:shd w:val="clear" w:color="auto" w:fill="FFFFFF"/>
        </w:rPr>
        <w:t>可移动智慧显示屏：配备 3 台 100 寸一体机，带移动支架，用于平台功能看板展示。</w:t>
      </w:r>
    </w:p>
    <w:p w14:paraId="6B09A527">
      <w:pPr>
        <w:pStyle w:val="18"/>
        <w:widowControl/>
        <w:shd w:val="clear" w:color="auto" w:fill="FFFFFF"/>
        <w:spacing w:before="0" w:beforeAutospacing="0" w:after="0" w:afterAutospacing="0" w:line="540" w:lineRule="atLeast"/>
        <w:ind w:firstLine="480"/>
        <w:jc w:val="left"/>
        <w:rPr>
          <w:rFonts w:ascii="宋体" w:hAnsi="宋体" w:cs="宋体"/>
          <w:shd w:val="clear" w:color="auto" w:fill="FFFFFF"/>
        </w:rPr>
      </w:pPr>
      <w:r>
        <w:rPr>
          <w:rFonts w:hint="eastAsia" w:ascii="宋体" w:hAnsi="宋体" w:cs="宋体"/>
          <w:shd w:val="clear" w:color="auto" w:fill="FFFFFF"/>
        </w:rPr>
        <w:t>政务云资源支撑：根据项目实际需求配备至少4台服务器资源（不低于</w:t>
      </w:r>
      <w:r>
        <w:rPr>
          <w:rFonts w:ascii="宋体" w:hAnsi="宋体" w:cs="宋体"/>
          <w:shd w:val="clear" w:color="auto" w:fill="FFFFFF"/>
        </w:rPr>
        <w:t>4</w:t>
      </w:r>
      <w:r>
        <w:rPr>
          <w:rFonts w:hint="eastAsia" w:ascii="宋体" w:hAnsi="宋体" w:cs="宋体"/>
          <w:shd w:val="clear" w:color="auto" w:fill="FFFFFF"/>
        </w:rPr>
        <w:t>核CPU，</w:t>
      </w:r>
      <w:r>
        <w:rPr>
          <w:rFonts w:ascii="宋体" w:hAnsi="宋体" w:cs="宋体"/>
          <w:shd w:val="clear" w:color="auto" w:fill="FFFFFF"/>
        </w:rPr>
        <w:t>16</w:t>
      </w:r>
      <w:r>
        <w:rPr>
          <w:rFonts w:hint="eastAsia" w:ascii="宋体" w:hAnsi="宋体" w:cs="宋体"/>
          <w:shd w:val="clear" w:color="auto" w:fill="FFFFFF"/>
        </w:rPr>
        <w:t>G内存，</w:t>
      </w:r>
      <w:r>
        <w:rPr>
          <w:rFonts w:ascii="宋体" w:hAnsi="宋体" w:cs="宋体"/>
          <w:shd w:val="clear" w:color="auto" w:fill="FFFFFF"/>
        </w:rPr>
        <w:t>3</w:t>
      </w:r>
      <w:r>
        <w:rPr>
          <w:rFonts w:hint="eastAsia" w:ascii="宋体" w:hAnsi="宋体" w:cs="宋体"/>
          <w:shd w:val="clear" w:color="auto" w:fill="FFFFFF"/>
        </w:rPr>
        <w:t>00G存储）并配套相应基础软件和网络。</w:t>
      </w:r>
    </w:p>
    <w:p w14:paraId="00A0BC43">
      <w:pPr>
        <w:pStyle w:val="5"/>
        <w:numPr>
          <w:ilvl w:val="0"/>
          <w:numId w:val="0"/>
        </w:numPr>
      </w:pPr>
      <w:r>
        <w:rPr>
          <w:rFonts w:hint="eastAsia"/>
        </w:rPr>
        <w:t>2</w:t>
      </w:r>
      <w:r>
        <w:t>.2</w:t>
      </w:r>
      <w:r>
        <w:rPr>
          <w:rFonts w:hint="eastAsia"/>
        </w:rPr>
        <w:t>业务应用平台</w:t>
      </w:r>
    </w:p>
    <w:p w14:paraId="316300D3">
      <w:pPr>
        <w:pStyle w:val="6"/>
      </w:pPr>
      <w:r>
        <w:rPr>
          <w:rFonts w:hint="eastAsia"/>
        </w:rPr>
        <w:t>2</w:t>
      </w:r>
      <w:r>
        <w:t>.2.1</w:t>
      </w:r>
      <w:r>
        <w:rPr>
          <w:rFonts w:hint="eastAsia"/>
        </w:rPr>
        <w:t>产业看板</w:t>
      </w:r>
    </w:p>
    <w:p w14:paraId="3E23781E">
      <w:pPr>
        <w:pStyle w:val="18"/>
        <w:widowControl/>
        <w:shd w:val="clear" w:color="auto" w:fill="FFFFFF"/>
        <w:spacing w:before="0" w:beforeAutospacing="0" w:after="0" w:afterAutospacing="0" w:line="540" w:lineRule="atLeast"/>
        <w:ind w:firstLine="480"/>
        <w:jc w:val="left"/>
        <w:rPr>
          <w:rFonts w:ascii="宋体" w:hAnsi="宋体" w:cs="宋体"/>
          <w:shd w:val="clear" w:color="auto" w:fill="FFFFFF"/>
        </w:rPr>
      </w:pPr>
      <w:r>
        <w:rPr>
          <w:rFonts w:hint="eastAsia" w:ascii="宋体" w:hAnsi="宋体" w:cs="宋体"/>
          <w:shd w:val="clear" w:color="auto" w:fill="FFFFFF"/>
        </w:rPr>
        <w:t>构建产业看板功能模块，包括产业看板大屏、一企一档、产业链管理等模块及功能。</w:t>
      </w:r>
    </w:p>
    <w:p w14:paraId="71C3F797">
      <w:pPr>
        <w:pStyle w:val="18"/>
        <w:widowControl/>
        <w:shd w:val="clear" w:color="auto" w:fill="FFFFFF"/>
        <w:spacing w:before="0" w:beforeAutospacing="0" w:after="0" w:afterAutospacing="0" w:line="540" w:lineRule="atLeast"/>
        <w:ind w:firstLine="480"/>
        <w:jc w:val="left"/>
        <w:rPr>
          <w:rFonts w:ascii="宋体" w:hAnsi="宋体" w:cs="宋体"/>
          <w:shd w:val="clear" w:color="auto" w:fill="FFFFFF"/>
        </w:rPr>
      </w:pPr>
      <w:r>
        <w:rPr>
          <w:rFonts w:hint="eastAsia" w:ascii="宋体" w:hAnsi="宋体" w:cs="宋体"/>
          <w:shd w:val="clear" w:color="auto" w:fill="FFFFFF"/>
        </w:rPr>
        <w:t>产业看板大屏：可视化展示区域经济指标运行情况，数据包括：GDP分析、第一、二、三产业产值、规上工业生产情况、居民人均可支配收入等，辅助管理人员通览全域经济发展概况。</w:t>
      </w:r>
    </w:p>
    <w:p w14:paraId="05FE588A">
      <w:pPr>
        <w:pStyle w:val="18"/>
        <w:widowControl/>
        <w:shd w:val="clear" w:color="auto" w:fill="FFFFFF"/>
        <w:spacing w:before="0" w:beforeAutospacing="0" w:after="0" w:afterAutospacing="0" w:line="540" w:lineRule="atLeast"/>
        <w:ind w:firstLine="480"/>
        <w:jc w:val="left"/>
        <w:rPr>
          <w:rFonts w:ascii="宋体" w:hAnsi="宋体" w:cs="宋体"/>
          <w:shd w:val="clear" w:color="auto" w:fill="FFFFFF"/>
        </w:rPr>
      </w:pPr>
      <w:r>
        <w:rPr>
          <w:rFonts w:hint="eastAsia" w:ascii="宋体" w:hAnsi="宋体" w:cs="宋体"/>
          <w:shd w:val="clear" w:color="auto" w:fill="FFFFFF"/>
        </w:rPr>
        <w:t>一企一档：利用大数据技术对企业相关数据对象信息进行收集、处理、分析，从中挖掘、提炼、总结数据对象的特征，分析数据深层次的内在联系并建立特征关联，提升对企业的精细化管理和服务。功能包括：企业档案（内容包括：基础信息、科技信息、信用信息、人才信息、企业成长过程、产品信息、资质信息）和标签服务（功能包括：标签目录管理、标签管理、关联标签）。</w:t>
      </w:r>
    </w:p>
    <w:p w14:paraId="09976334">
      <w:pPr>
        <w:pStyle w:val="18"/>
        <w:widowControl/>
        <w:shd w:val="clear" w:color="auto" w:fill="FFFFFF"/>
        <w:spacing w:before="0" w:beforeAutospacing="0" w:after="0" w:afterAutospacing="0" w:line="540" w:lineRule="atLeast"/>
        <w:ind w:firstLine="480"/>
        <w:jc w:val="left"/>
        <w:rPr>
          <w:rFonts w:ascii="宋体" w:hAnsi="宋体" w:cs="宋体"/>
          <w:shd w:val="clear" w:color="auto" w:fill="FFFFFF"/>
        </w:rPr>
      </w:pPr>
      <w:r>
        <w:rPr>
          <w:rFonts w:hint="eastAsia" w:ascii="宋体" w:hAnsi="宋体" w:cs="宋体"/>
          <w:shd w:val="clear" w:color="auto" w:fill="FFFFFF"/>
        </w:rPr>
        <w:t>产业链管理：基于本地产业链图谱，构建本地重点产业链图谱，包括上游、中游、下游环节内容构建，并区分强势环节、缺失环节、薄弱环节，形成本地重点产业链数字化图谱。功能包括产业标签、产业全景图、产业结构管理。</w:t>
      </w:r>
    </w:p>
    <w:p w14:paraId="0FC576CB">
      <w:pPr>
        <w:pStyle w:val="6"/>
      </w:pPr>
      <w:r>
        <w:rPr>
          <w:rFonts w:hint="eastAsia"/>
        </w:rPr>
        <w:t>2</w:t>
      </w:r>
      <w:r>
        <w:t>.2.2</w:t>
      </w:r>
      <w:r>
        <w:rPr>
          <w:rFonts w:hint="eastAsia"/>
        </w:rPr>
        <w:t>招商看板</w:t>
      </w:r>
    </w:p>
    <w:p w14:paraId="256B065D">
      <w:pPr>
        <w:pStyle w:val="18"/>
        <w:widowControl/>
        <w:shd w:val="clear" w:color="auto" w:fill="FFFFFF"/>
        <w:spacing w:before="0" w:beforeAutospacing="0" w:after="0" w:afterAutospacing="0" w:line="540" w:lineRule="atLeast"/>
        <w:ind w:firstLine="480"/>
        <w:jc w:val="left"/>
        <w:rPr>
          <w:rFonts w:ascii="宋体" w:hAnsi="宋体" w:cs="宋体"/>
          <w:shd w:val="clear" w:color="auto" w:fill="FFFFFF"/>
        </w:rPr>
      </w:pPr>
      <w:r>
        <w:rPr>
          <w:rFonts w:hint="eastAsia" w:ascii="宋体" w:hAnsi="宋体" w:cs="宋体"/>
          <w:shd w:val="clear" w:color="auto" w:fill="FFFFFF"/>
        </w:rPr>
        <w:t>为实现招商全过程的线上数字化管理，构建招商看板功能模块，包括招商看板大屏、招商智能推荐、招商智能填报、招商智能分析、监管协议管理等模块。</w:t>
      </w:r>
    </w:p>
    <w:p w14:paraId="15DFF59B">
      <w:pPr>
        <w:pStyle w:val="18"/>
        <w:widowControl/>
        <w:shd w:val="clear" w:color="auto" w:fill="FFFFFF"/>
        <w:spacing w:before="0" w:beforeAutospacing="0" w:after="0" w:afterAutospacing="0" w:line="540" w:lineRule="atLeast"/>
        <w:ind w:firstLine="480"/>
        <w:jc w:val="left"/>
        <w:rPr>
          <w:rFonts w:ascii="宋体" w:hAnsi="宋体" w:cs="宋体"/>
          <w:shd w:val="clear" w:color="auto" w:fill="FFFFFF"/>
        </w:rPr>
      </w:pPr>
      <w:r>
        <w:rPr>
          <w:rFonts w:hint="eastAsia" w:ascii="宋体" w:hAnsi="宋体" w:cs="宋体"/>
          <w:shd w:val="clear" w:color="auto" w:fill="FFFFFF"/>
        </w:rPr>
        <w:t>招商看板大屏：支持查看招商项目看板数据，可查看在谈项目数据、签约项目数据等，通过可视化的方式展示招商项目的进展和状态，以便于各部门领导实时掌握招商项目动态，方便快速了解在谈签约项目整体情况。</w:t>
      </w:r>
    </w:p>
    <w:p w14:paraId="4BDDEA4A">
      <w:pPr>
        <w:pStyle w:val="18"/>
        <w:widowControl/>
        <w:shd w:val="clear" w:color="auto" w:fill="FFFFFF"/>
        <w:spacing w:before="0" w:beforeAutospacing="0" w:after="0" w:afterAutospacing="0" w:line="540" w:lineRule="atLeast"/>
        <w:ind w:firstLine="480"/>
        <w:jc w:val="left"/>
        <w:rPr>
          <w:rFonts w:ascii="宋体" w:hAnsi="宋体" w:cs="宋体"/>
          <w:shd w:val="clear" w:color="auto" w:fill="FFFFFF"/>
        </w:rPr>
      </w:pPr>
      <w:r>
        <w:rPr>
          <w:rFonts w:hint="eastAsia" w:ascii="宋体" w:hAnsi="宋体" w:cs="宋体"/>
          <w:shd w:val="clear" w:color="auto" w:fill="FFFFFF"/>
        </w:rPr>
        <w:t>招商智能推荐：为有效解决当前招商引资单位查找招商线索以及目标企业的渠道少、工作量大，企业信息获取不够全面等问题，平台提供招商智能推荐应用，包括招商线索推荐、目标企业推荐、动态监控、准入尽调、最优触达路径推荐、企业猎搜等功能。</w:t>
      </w:r>
    </w:p>
    <w:p w14:paraId="1B71EE74">
      <w:pPr>
        <w:pStyle w:val="18"/>
        <w:widowControl/>
        <w:shd w:val="clear" w:color="auto" w:fill="FFFFFF"/>
        <w:spacing w:before="0" w:beforeAutospacing="0" w:after="0" w:afterAutospacing="0" w:line="540" w:lineRule="atLeast"/>
        <w:ind w:firstLine="480"/>
        <w:jc w:val="left"/>
        <w:rPr>
          <w:rFonts w:ascii="宋体" w:hAnsi="宋体" w:cs="宋体"/>
          <w:shd w:val="clear" w:color="auto" w:fill="FFFFFF"/>
        </w:rPr>
      </w:pPr>
      <w:r>
        <w:rPr>
          <w:rFonts w:hint="eastAsia" w:ascii="宋体" w:hAnsi="宋体" w:cs="宋体"/>
          <w:shd w:val="clear" w:color="auto" w:fill="FFFFFF"/>
        </w:rPr>
        <w:t>招商信息智能填报：为实现招商全过程的线上数字化管理，提供招商智能填报应用，包括招商计划管理、外出招商、企业到访、外出考察等功能应用，辅助招商计划制定、执行管理，提高管理效率。</w:t>
      </w:r>
    </w:p>
    <w:p w14:paraId="7CD59C3F">
      <w:pPr>
        <w:pStyle w:val="18"/>
        <w:widowControl/>
        <w:shd w:val="clear" w:color="auto" w:fill="FFFFFF"/>
        <w:spacing w:before="0" w:beforeAutospacing="0" w:after="0" w:afterAutospacing="0" w:line="540" w:lineRule="atLeast"/>
        <w:ind w:firstLine="480"/>
        <w:jc w:val="left"/>
        <w:rPr>
          <w:rFonts w:ascii="宋体" w:hAnsi="宋体" w:cs="宋体"/>
          <w:shd w:val="clear" w:color="auto" w:fill="FFFFFF"/>
        </w:rPr>
      </w:pPr>
      <w:r>
        <w:rPr>
          <w:rFonts w:hint="eastAsia" w:ascii="宋体" w:hAnsi="宋体" w:cs="宋体"/>
          <w:shd w:val="clear" w:color="auto" w:fill="FFFFFF"/>
        </w:rPr>
        <w:t>招商智能分析：为有效解决当前招商要素保障滞后、招商月报与招商分析手工操作及时性、准确性不足等问题，平台提供招商智能分析应用，实现招商项目全流程闭环管理，按照全县“一盘棋”思路，统筹推进、协同高效开展产业招商，实现有限招商资源包括人力、土地、厂房、政策等要素集中力量推动到更多优质的项目落地罗甸，提升招商服务效率，支撑领导科学决策。包括招商要素保障、招商月报统计、意向项目、评审项目进展、在谈项目进展、在谈项目问题等功能。</w:t>
      </w:r>
    </w:p>
    <w:p w14:paraId="29D8215D">
      <w:pPr>
        <w:pStyle w:val="18"/>
        <w:widowControl/>
        <w:shd w:val="clear" w:color="auto" w:fill="FFFFFF"/>
        <w:spacing w:before="0" w:beforeAutospacing="0" w:after="0" w:afterAutospacing="0" w:line="540" w:lineRule="atLeast"/>
        <w:ind w:firstLine="480"/>
        <w:jc w:val="left"/>
        <w:rPr>
          <w:rFonts w:ascii="宋体" w:hAnsi="宋体" w:cs="宋体"/>
          <w:shd w:val="clear" w:color="auto" w:fill="FFFFFF"/>
        </w:rPr>
      </w:pPr>
      <w:r>
        <w:rPr>
          <w:rFonts w:hint="eastAsia" w:ascii="宋体" w:hAnsi="宋体" w:cs="宋体"/>
          <w:shd w:val="clear" w:color="auto" w:fill="FFFFFF"/>
        </w:rPr>
        <w:t>监管协议管理：监管协议管理主要用于管理项目签订的监管协议信息，确保所有相关方都明确各自的责任和义务，并按照协议规定的内容和时间节点执行项目，从而降低项目风险，提高项目的成功率。监管协议还需与企业画像打通，实现由企业画像转跳至监管协议详情。监管协议需设置访问权限，控制查看权限。</w:t>
      </w:r>
    </w:p>
    <w:p w14:paraId="6384A5A7">
      <w:pPr>
        <w:pStyle w:val="6"/>
      </w:pPr>
      <w:r>
        <w:rPr>
          <w:rFonts w:hint="eastAsia"/>
        </w:rPr>
        <w:t>2</w:t>
      </w:r>
      <w:r>
        <w:t>.2.3</w:t>
      </w:r>
      <w:r>
        <w:rPr>
          <w:rFonts w:hint="eastAsia"/>
        </w:rPr>
        <w:t>项目看板</w:t>
      </w:r>
    </w:p>
    <w:p w14:paraId="72D3F2B3">
      <w:pPr>
        <w:pStyle w:val="18"/>
        <w:widowControl/>
        <w:shd w:val="clear" w:color="auto" w:fill="FFFFFF"/>
        <w:spacing w:before="0" w:beforeAutospacing="0" w:after="0" w:afterAutospacing="0" w:line="540" w:lineRule="atLeast"/>
        <w:ind w:firstLine="480"/>
        <w:jc w:val="left"/>
        <w:rPr>
          <w:rFonts w:ascii="宋体" w:hAnsi="宋体" w:cs="宋体"/>
          <w:shd w:val="clear" w:color="auto" w:fill="FFFFFF"/>
        </w:rPr>
      </w:pPr>
      <w:r>
        <w:rPr>
          <w:rFonts w:hint="eastAsia" w:ascii="宋体" w:hAnsi="宋体" w:cs="宋体"/>
          <w:shd w:val="clear" w:color="auto" w:fill="FFFFFF"/>
        </w:rPr>
        <w:t>构建项目看板业务应用功能，实现项目从签约到落地的全周期数字化管理，包括项项目看板大屏、项目名录管理、项目年度计划管理、项目进展管理、项目问题管理等模块。</w:t>
      </w:r>
    </w:p>
    <w:p w14:paraId="4812A09B">
      <w:pPr>
        <w:pStyle w:val="18"/>
        <w:widowControl/>
        <w:shd w:val="clear" w:color="auto" w:fill="FFFFFF"/>
        <w:spacing w:before="0" w:beforeAutospacing="0" w:after="0" w:afterAutospacing="0" w:line="540" w:lineRule="atLeast"/>
        <w:ind w:firstLine="480"/>
        <w:jc w:val="left"/>
        <w:rPr>
          <w:rFonts w:ascii="宋体" w:hAnsi="宋体" w:cs="宋体"/>
          <w:shd w:val="clear" w:color="auto" w:fill="FFFFFF"/>
        </w:rPr>
      </w:pPr>
      <w:r>
        <w:rPr>
          <w:rFonts w:hint="eastAsia" w:ascii="宋体" w:hAnsi="宋体" w:cs="宋体"/>
          <w:shd w:val="clear" w:color="auto" w:fill="FFFFFF"/>
        </w:rPr>
        <w:t>项目看板大屏：主要用于对产业项目从签约至投产后全过程的数据进行图形化呈现分析，有助于提高数据分析的效率和准确性，促进决策的科学化和精准化。主要内容包括：项目总览、项目全景业务图、重点产业项目总览。</w:t>
      </w:r>
    </w:p>
    <w:p w14:paraId="0DA84396">
      <w:pPr>
        <w:pStyle w:val="18"/>
        <w:widowControl/>
        <w:shd w:val="clear" w:color="auto" w:fill="FFFFFF"/>
        <w:spacing w:before="0" w:beforeAutospacing="0" w:after="0" w:afterAutospacing="0" w:line="540" w:lineRule="atLeast"/>
        <w:ind w:firstLine="480"/>
        <w:jc w:val="left"/>
        <w:rPr>
          <w:rFonts w:ascii="宋体" w:hAnsi="宋体" w:cs="宋体"/>
          <w:shd w:val="clear" w:color="auto" w:fill="FFFFFF"/>
        </w:rPr>
      </w:pPr>
      <w:r>
        <w:rPr>
          <w:rFonts w:hint="eastAsia" w:ascii="宋体" w:hAnsi="宋体" w:cs="宋体"/>
          <w:shd w:val="clear" w:color="auto" w:fill="FFFFFF"/>
        </w:rPr>
        <w:t>项目名录管理：项目名录管理主要用于产业项目的立项项目信息管理，当项目签约后，可对项目录入名录维护管理，包括项目名录维护和项目名录查询。</w:t>
      </w:r>
    </w:p>
    <w:p w14:paraId="0B358CD7">
      <w:pPr>
        <w:pStyle w:val="18"/>
        <w:widowControl/>
        <w:shd w:val="clear" w:color="auto" w:fill="FFFFFF"/>
        <w:spacing w:before="0" w:beforeAutospacing="0" w:after="0" w:afterAutospacing="0" w:line="540" w:lineRule="atLeast"/>
        <w:ind w:firstLine="480"/>
        <w:jc w:val="left"/>
        <w:rPr>
          <w:rFonts w:ascii="宋体" w:hAnsi="宋体" w:cs="宋体"/>
          <w:shd w:val="clear" w:color="auto" w:fill="FFFFFF"/>
        </w:rPr>
      </w:pPr>
      <w:r>
        <w:rPr>
          <w:rFonts w:hint="eastAsia" w:ascii="宋体" w:hAnsi="宋体" w:cs="宋体"/>
          <w:shd w:val="clear" w:color="auto" w:fill="FFFFFF"/>
        </w:rPr>
        <w:t>项目年度计划管理：项目年度计划管理功能主要用于对项目年度计划管理，可以更好地掌握项目的整体情况，制定科学、合理的发展目标，优化资源配置，提高项目管理效率和质量，实现项目的可持续发展。包括：项目年度计划填报、项目年度计划审核、项目年度计划变更、项目节点计划管理、项目节点计划维护、项目前期计划。</w:t>
      </w:r>
    </w:p>
    <w:p w14:paraId="2068C230">
      <w:pPr>
        <w:pStyle w:val="18"/>
        <w:widowControl/>
        <w:shd w:val="clear" w:color="auto" w:fill="FFFFFF"/>
        <w:spacing w:before="0" w:beforeAutospacing="0" w:after="0" w:afterAutospacing="0" w:line="540" w:lineRule="atLeast"/>
        <w:ind w:firstLine="480"/>
        <w:jc w:val="left"/>
        <w:rPr>
          <w:rFonts w:ascii="宋体" w:hAnsi="宋体" w:cs="宋体"/>
          <w:shd w:val="clear" w:color="auto" w:fill="FFFFFF"/>
        </w:rPr>
      </w:pPr>
      <w:r>
        <w:rPr>
          <w:rFonts w:hint="eastAsia" w:ascii="宋体" w:hAnsi="宋体" w:cs="宋体"/>
          <w:shd w:val="clear" w:color="auto" w:fill="FFFFFF"/>
        </w:rPr>
        <w:t>项目进展管理：项目进展管理提供项目全过程进展情况跟踪管理，主要用于项目前期到项目投产的全过程进展信息管理，能够提高项目管理的实时性、可控性和准确性，为项目的成功实施提供有力支持。包括：项目前期准备进展情况跟踪、项目进展进度情况填报、项目进展进度情况跟踪查询、重大项目排序。</w:t>
      </w:r>
    </w:p>
    <w:p w14:paraId="6DEE7A1C">
      <w:pPr>
        <w:pStyle w:val="18"/>
        <w:widowControl/>
        <w:shd w:val="clear" w:color="auto" w:fill="FFFFFF"/>
        <w:spacing w:before="0" w:beforeAutospacing="0" w:after="0" w:afterAutospacing="0" w:line="540" w:lineRule="atLeast"/>
        <w:ind w:firstLine="480"/>
        <w:jc w:val="left"/>
        <w:rPr>
          <w:rFonts w:ascii="宋体" w:hAnsi="宋体" w:cs="宋体"/>
          <w:shd w:val="clear" w:color="auto" w:fill="FFFFFF"/>
        </w:rPr>
      </w:pPr>
      <w:r>
        <w:rPr>
          <w:rFonts w:hint="eastAsia" w:ascii="宋体" w:hAnsi="宋体" w:cs="宋体"/>
          <w:shd w:val="clear" w:color="auto" w:fill="FFFFFF"/>
        </w:rPr>
        <w:t>项目问题管理：当项目在进展过程中，存在进展问题时，可用于问题登记、受理、反馈，方便及时了解和处理项目进展过程中出现的问题，提高项目管理的质量和效率。包括项目诉求跟踪提供项目进展问题登记、项目进展问题受理、项目进展问题反馈。</w:t>
      </w:r>
    </w:p>
    <w:p w14:paraId="70CF79BB">
      <w:pPr>
        <w:pStyle w:val="6"/>
      </w:pPr>
      <w:r>
        <w:rPr>
          <w:rFonts w:hint="eastAsia"/>
        </w:rPr>
        <w:t>2</w:t>
      </w:r>
      <w:r>
        <w:t>.2.4</w:t>
      </w:r>
      <w:r>
        <w:rPr>
          <w:rFonts w:hint="eastAsia"/>
        </w:rPr>
        <w:t>企业服务门户</w:t>
      </w:r>
    </w:p>
    <w:p w14:paraId="627DFAFC">
      <w:pPr>
        <w:pStyle w:val="18"/>
        <w:widowControl/>
        <w:shd w:val="clear" w:color="auto" w:fill="FFFFFF"/>
        <w:spacing w:before="0" w:beforeAutospacing="0" w:after="0" w:afterAutospacing="0" w:line="540" w:lineRule="atLeast"/>
        <w:ind w:firstLine="480"/>
        <w:jc w:val="left"/>
        <w:rPr>
          <w:rFonts w:ascii="宋体" w:hAnsi="宋体" w:cs="宋体"/>
          <w:shd w:val="clear" w:color="auto" w:fill="FFFFFF"/>
        </w:rPr>
      </w:pPr>
      <w:r>
        <w:rPr>
          <w:rFonts w:hint="eastAsia" w:ascii="宋体" w:hAnsi="宋体" w:cs="宋体"/>
          <w:shd w:val="clear" w:color="auto" w:fill="FFFFFF"/>
        </w:rPr>
        <w:t>建设企业侧统一服务门户应用，满足企业的信息需求，提供资讯公告、投资招商信息、园区服务等业务应用，为企业提供便捷的信息获取、交流互动服务，帮助企业更好地运营和发展。</w:t>
      </w:r>
    </w:p>
    <w:p w14:paraId="16127FB9">
      <w:pPr>
        <w:pStyle w:val="18"/>
        <w:widowControl/>
        <w:shd w:val="clear" w:color="auto" w:fill="FFFFFF"/>
        <w:spacing w:before="0" w:beforeAutospacing="0" w:after="0" w:afterAutospacing="0" w:line="540" w:lineRule="atLeast"/>
        <w:ind w:firstLine="480"/>
        <w:jc w:val="left"/>
        <w:rPr>
          <w:rFonts w:ascii="宋体" w:hAnsi="宋体" w:cs="宋体"/>
          <w:shd w:val="clear" w:color="auto" w:fill="FFFFFF"/>
        </w:rPr>
      </w:pPr>
      <w:r>
        <w:rPr>
          <w:rFonts w:hint="eastAsia" w:ascii="宋体" w:hAnsi="宋体" w:cs="宋体"/>
          <w:shd w:val="clear" w:color="auto" w:fill="FFFFFF"/>
        </w:rPr>
        <w:t>企业服务门户以现有政务生活APP或罗甸官方微信公众号为入口，提供资讯公告、招商信息、园区服务、咨询建议等模块，实现企业诉求线上提交与反馈。</w:t>
      </w:r>
    </w:p>
    <w:p w14:paraId="5EBA9E71">
      <w:pPr>
        <w:pStyle w:val="6"/>
      </w:pPr>
      <w:r>
        <w:rPr>
          <w:rFonts w:hint="eastAsia"/>
        </w:rPr>
        <w:t>2</w:t>
      </w:r>
      <w:r>
        <w:t>.2.5</w:t>
      </w:r>
      <w:r>
        <w:rPr>
          <w:rFonts w:hint="eastAsia"/>
        </w:rPr>
        <w:t>移动应用</w:t>
      </w:r>
    </w:p>
    <w:p w14:paraId="385D44C5">
      <w:pPr>
        <w:pStyle w:val="18"/>
        <w:widowControl/>
        <w:shd w:val="clear" w:color="auto" w:fill="FFFFFF"/>
        <w:spacing w:before="0" w:beforeAutospacing="0" w:after="0" w:afterAutospacing="0" w:line="540" w:lineRule="atLeast"/>
        <w:ind w:firstLine="480"/>
        <w:jc w:val="left"/>
        <w:rPr>
          <w:rFonts w:ascii="宋体" w:hAnsi="宋体" w:cs="宋体"/>
          <w:shd w:val="clear" w:color="auto" w:fill="FFFFFF"/>
        </w:rPr>
      </w:pPr>
      <w:r>
        <w:rPr>
          <w:rFonts w:hint="eastAsia" w:ascii="宋体" w:hAnsi="宋体" w:cs="宋体"/>
          <w:shd w:val="clear" w:color="auto" w:fill="FFFFFF"/>
        </w:rPr>
        <w:t>提供移动端业务应用，功能采用H5技术实现，接入政务生活app，满足用户移动办公需求。政府侧用户在手机上即可使用移动应用门户、移动端招商看板（招商线索、企业猎搜、目标企业、企业风险监控、目标企业舆情等）、移动端产业看板（产业全景图、一企一档）等功能。</w:t>
      </w:r>
    </w:p>
    <w:p w14:paraId="6D240CBC">
      <w:pPr>
        <w:pStyle w:val="5"/>
        <w:numPr>
          <w:ilvl w:val="0"/>
          <w:numId w:val="0"/>
        </w:numPr>
      </w:pPr>
      <w:r>
        <w:rPr>
          <w:rFonts w:hint="eastAsia"/>
        </w:rPr>
        <w:t>2</w:t>
      </w:r>
      <w:r>
        <w:t>.3</w:t>
      </w:r>
      <w:r>
        <w:rPr>
          <w:rFonts w:hint="eastAsia"/>
        </w:rPr>
        <w:t>运维服务及保障响应</w:t>
      </w:r>
    </w:p>
    <w:p w14:paraId="1B0979F7">
      <w:pPr>
        <w:pStyle w:val="6"/>
      </w:pPr>
      <w:r>
        <w:rPr>
          <w:rFonts w:hint="eastAsia"/>
        </w:rPr>
        <w:t>2</w:t>
      </w:r>
      <w:r>
        <w:t>.3.1</w:t>
      </w:r>
      <w:r>
        <w:rPr>
          <w:rFonts w:hint="eastAsia"/>
        </w:rPr>
        <w:t>运维服务</w:t>
      </w:r>
    </w:p>
    <w:p w14:paraId="5598C156">
      <w:pPr>
        <w:pStyle w:val="18"/>
        <w:widowControl/>
        <w:shd w:val="clear" w:color="auto" w:fill="FFFFFF"/>
        <w:spacing w:before="0" w:beforeAutospacing="0" w:after="0" w:afterAutospacing="0" w:line="540" w:lineRule="atLeast"/>
        <w:ind w:firstLine="480"/>
        <w:jc w:val="left"/>
        <w:rPr>
          <w:rFonts w:ascii="宋体" w:hAnsi="宋体" w:cs="宋体"/>
          <w:shd w:val="clear" w:color="auto" w:fill="FFFFFF"/>
        </w:rPr>
      </w:pPr>
      <w:r>
        <w:rPr>
          <w:rFonts w:hint="eastAsia" w:ascii="宋体" w:hAnsi="宋体" w:cs="宋体"/>
          <w:shd w:val="clear" w:color="auto" w:fill="FFFFFF"/>
        </w:rPr>
        <w:t>（1）本项目需提供维护服务期不少于3年，自项目最终验收合格之日起计算。</w:t>
      </w:r>
    </w:p>
    <w:p w14:paraId="603DDA74">
      <w:pPr>
        <w:pStyle w:val="18"/>
        <w:widowControl/>
        <w:shd w:val="clear" w:color="auto" w:fill="FFFFFF"/>
        <w:spacing w:before="0" w:beforeAutospacing="0" w:after="0" w:afterAutospacing="0" w:line="540" w:lineRule="atLeast"/>
        <w:ind w:firstLine="480"/>
        <w:jc w:val="left"/>
        <w:rPr>
          <w:rFonts w:ascii="宋体" w:hAnsi="宋体" w:cs="宋体"/>
          <w:shd w:val="clear" w:color="auto" w:fill="FFFFFF"/>
        </w:rPr>
      </w:pPr>
      <w:r>
        <w:rPr>
          <w:rFonts w:hint="eastAsia" w:ascii="宋体" w:hAnsi="宋体" w:cs="宋体"/>
          <w:shd w:val="clear" w:color="auto" w:fill="FFFFFF"/>
        </w:rPr>
        <w:t>（2）在维护服务期内需提供软件升级、软件故障排除、补丁安装、软件重装等技术支持及维护服务。</w:t>
      </w:r>
    </w:p>
    <w:p w14:paraId="3FF288A8">
      <w:pPr>
        <w:pStyle w:val="18"/>
        <w:widowControl/>
        <w:shd w:val="clear" w:color="auto" w:fill="FFFFFF"/>
        <w:spacing w:before="0" w:beforeAutospacing="0" w:after="0" w:afterAutospacing="0" w:line="540" w:lineRule="atLeast"/>
        <w:ind w:firstLine="480"/>
        <w:jc w:val="left"/>
        <w:rPr>
          <w:rFonts w:ascii="宋体" w:hAnsi="宋体" w:cs="宋体"/>
          <w:shd w:val="clear" w:color="auto" w:fill="FFFFFF"/>
        </w:rPr>
      </w:pPr>
      <w:r>
        <w:rPr>
          <w:rFonts w:hint="eastAsia" w:ascii="宋体" w:hAnsi="宋体" w:cs="宋体"/>
          <w:shd w:val="clear" w:color="auto" w:fill="FFFFFF"/>
        </w:rPr>
        <w:t>（3）在维护服务期内，为本项目成立专门的维护服务和技术支持小组，根据要求提供维护服务和技术支持。</w:t>
      </w:r>
    </w:p>
    <w:p w14:paraId="567159D0">
      <w:pPr>
        <w:pStyle w:val="6"/>
      </w:pPr>
      <w:r>
        <w:rPr>
          <w:rFonts w:hint="eastAsia"/>
        </w:rPr>
        <w:t>2</w:t>
      </w:r>
      <w:r>
        <w:t>.3.2</w:t>
      </w:r>
      <w:r>
        <w:rPr>
          <w:rFonts w:hint="eastAsia"/>
        </w:rPr>
        <w:t>保障响应</w:t>
      </w:r>
    </w:p>
    <w:p w14:paraId="558F7706">
      <w:pPr>
        <w:pStyle w:val="18"/>
        <w:widowControl/>
        <w:shd w:val="clear" w:color="auto" w:fill="FFFFFF"/>
        <w:spacing w:before="0" w:beforeAutospacing="0" w:after="0" w:afterAutospacing="0" w:line="540" w:lineRule="atLeast"/>
        <w:ind w:firstLine="480"/>
        <w:jc w:val="left"/>
        <w:rPr>
          <w:rFonts w:ascii="宋体" w:hAnsi="宋体" w:cs="宋体"/>
          <w:shd w:val="clear" w:color="auto" w:fill="FFFFFF"/>
        </w:rPr>
      </w:pPr>
      <w:r>
        <w:rPr>
          <w:rFonts w:hint="eastAsia" w:ascii="宋体" w:hAnsi="宋体" w:cs="宋体"/>
          <w:shd w:val="clear" w:color="auto" w:fill="FFFFFF"/>
        </w:rPr>
        <w:t>（1）根据不同情况设定不同的故障级别，并就不同故障级别提出对应的故障响应方案。</w:t>
      </w:r>
    </w:p>
    <w:p w14:paraId="7BD601AF">
      <w:pPr>
        <w:pStyle w:val="18"/>
        <w:widowControl/>
        <w:shd w:val="clear" w:color="auto" w:fill="FFFFFF"/>
        <w:spacing w:before="0" w:beforeAutospacing="0" w:after="0" w:afterAutospacing="0" w:line="540" w:lineRule="atLeast"/>
        <w:ind w:firstLine="480"/>
        <w:jc w:val="left"/>
        <w:rPr>
          <w:rFonts w:ascii="宋体" w:hAnsi="宋体" w:cs="宋体"/>
          <w:shd w:val="clear" w:color="auto" w:fill="FFFFFF"/>
        </w:rPr>
      </w:pPr>
      <w:r>
        <w:rPr>
          <w:rFonts w:hint="eastAsia" w:ascii="宋体" w:hAnsi="宋体" w:cs="宋体"/>
          <w:shd w:val="clear" w:color="auto" w:fill="FFFFFF"/>
        </w:rPr>
        <w:t>（2）在运行维护服务期内，需提供7×24小时服务专线和技术支持，在采购人提出服务要求后，满足在1小时内响应，2小时内提出解决方案或设备替代方案，6小时内处理完毕。</w:t>
      </w:r>
    </w:p>
    <w:p w14:paraId="421880AA">
      <w:pPr>
        <w:widowControl/>
        <w:jc w:val="left"/>
      </w:pPr>
      <w:r>
        <w:br w:type="page"/>
      </w:r>
    </w:p>
    <w:p w14:paraId="410CDE63">
      <w:pPr>
        <w:pStyle w:val="5"/>
        <w:numPr>
          <w:ilvl w:val="2"/>
          <w:numId w:val="0"/>
        </w:numPr>
        <w:spacing w:line="360" w:lineRule="auto"/>
        <w:jc w:val="center"/>
        <w:rPr>
          <w:rFonts w:ascii="宋体" w:hAnsi="宋体" w:cs="宋体"/>
        </w:rPr>
      </w:pPr>
      <w:r>
        <w:rPr>
          <w:rFonts w:hint="eastAsia" w:ascii="宋体" w:hAnsi="宋体" w:cs="宋体"/>
          <w:sz w:val="30"/>
          <w:szCs w:val="30"/>
        </w:rPr>
        <w:t>第三节 商务要求</w:t>
      </w:r>
    </w:p>
    <w:p w14:paraId="25BC53A2">
      <w:pPr>
        <w:spacing w:before="158" w:beforeLines="50" w:after="158" w:afterLines="50" w:line="360" w:lineRule="auto"/>
        <w:ind w:firstLine="488" w:firstLineChars="200"/>
        <w:rPr>
          <w:rFonts w:hint="eastAsia" w:asciiTheme="majorEastAsia" w:hAnsiTheme="majorEastAsia" w:eastAsiaTheme="majorEastAsia" w:cstheme="majorEastAsia"/>
          <w:color w:val="auto"/>
          <w:kern w:val="0"/>
          <w:sz w:val="24"/>
          <w:highlight w:val="none"/>
          <w:lang w:bidi="ar"/>
        </w:rPr>
      </w:pPr>
      <w:r>
        <w:rPr>
          <w:rFonts w:hint="eastAsia" w:asciiTheme="majorEastAsia" w:hAnsiTheme="majorEastAsia" w:eastAsiaTheme="majorEastAsia" w:cstheme="majorEastAsia"/>
          <w:color w:val="auto"/>
          <w:kern w:val="0"/>
          <w:sz w:val="24"/>
          <w:highlight w:val="none"/>
          <w:lang w:bidi="ar"/>
        </w:rPr>
        <w:t>一、服务期及服务地点</w:t>
      </w:r>
    </w:p>
    <w:p w14:paraId="44E13542">
      <w:pPr>
        <w:spacing w:before="158" w:beforeLines="50" w:after="158" w:afterLines="50" w:line="360" w:lineRule="auto"/>
        <w:ind w:firstLine="488" w:firstLineChars="200"/>
        <w:rPr>
          <w:rFonts w:hint="eastAsia" w:asciiTheme="majorEastAsia" w:hAnsiTheme="majorEastAsia" w:eastAsiaTheme="majorEastAsia" w:cstheme="majorEastAsia"/>
          <w:color w:val="auto"/>
          <w:kern w:val="0"/>
          <w:sz w:val="24"/>
          <w:highlight w:val="none"/>
          <w:lang w:bidi="ar"/>
        </w:rPr>
      </w:pPr>
      <w:r>
        <w:rPr>
          <w:rFonts w:hint="eastAsia" w:asciiTheme="majorEastAsia" w:hAnsiTheme="majorEastAsia" w:eastAsiaTheme="majorEastAsia" w:cstheme="majorEastAsia"/>
          <w:color w:val="auto"/>
          <w:kern w:val="0"/>
          <w:sz w:val="24"/>
          <w:highlight w:val="none"/>
          <w:lang w:bidi="ar"/>
        </w:rPr>
        <w:t>服务期：</w:t>
      </w:r>
      <w:r>
        <w:rPr>
          <w:rFonts w:hint="eastAsia" w:asciiTheme="majorEastAsia" w:hAnsiTheme="majorEastAsia" w:eastAsiaTheme="majorEastAsia" w:cstheme="majorEastAsia"/>
          <w:color w:val="auto"/>
          <w:kern w:val="0"/>
          <w:sz w:val="24"/>
          <w:highlight w:val="none"/>
          <w:lang w:val="en-US" w:eastAsia="zh-CN" w:bidi="ar"/>
        </w:rPr>
        <w:t>90</w:t>
      </w:r>
      <w:r>
        <w:rPr>
          <w:rFonts w:hint="eastAsia" w:asciiTheme="majorEastAsia" w:hAnsiTheme="majorEastAsia" w:eastAsiaTheme="majorEastAsia" w:cstheme="majorEastAsia"/>
          <w:color w:val="auto"/>
          <w:kern w:val="0"/>
          <w:sz w:val="24"/>
          <w:highlight w:val="none"/>
          <w:lang w:bidi="ar"/>
        </w:rPr>
        <w:t xml:space="preserve">日历天 </w:t>
      </w:r>
    </w:p>
    <w:p w14:paraId="0EC502CA">
      <w:pPr>
        <w:spacing w:before="158" w:beforeLines="50" w:after="158" w:afterLines="50" w:line="360" w:lineRule="auto"/>
        <w:ind w:firstLine="488" w:firstLineChars="200"/>
        <w:rPr>
          <w:rFonts w:hint="eastAsia" w:asciiTheme="majorEastAsia" w:hAnsiTheme="majorEastAsia" w:eastAsiaTheme="majorEastAsia" w:cstheme="majorEastAsia"/>
          <w:color w:val="auto"/>
          <w:kern w:val="0"/>
          <w:sz w:val="24"/>
          <w:highlight w:val="none"/>
          <w:lang w:bidi="ar"/>
        </w:rPr>
      </w:pPr>
      <w:r>
        <w:rPr>
          <w:rFonts w:hint="eastAsia" w:asciiTheme="majorEastAsia" w:hAnsiTheme="majorEastAsia" w:eastAsiaTheme="majorEastAsia" w:cstheme="majorEastAsia"/>
          <w:color w:val="auto"/>
          <w:kern w:val="0"/>
          <w:sz w:val="24"/>
          <w:highlight w:val="none"/>
          <w:lang w:bidi="ar"/>
        </w:rPr>
        <w:t>服务地点：采购人指定地点。</w:t>
      </w:r>
    </w:p>
    <w:p w14:paraId="3708C2BF">
      <w:pPr>
        <w:spacing w:before="158" w:beforeLines="50" w:after="158" w:afterLines="50" w:line="360" w:lineRule="auto"/>
        <w:ind w:firstLine="488" w:firstLineChars="200"/>
        <w:rPr>
          <w:rFonts w:hint="eastAsia" w:asciiTheme="majorEastAsia" w:hAnsiTheme="majorEastAsia" w:eastAsiaTheme="majorEastAsia" w:cstheme="majorEastAsia"/>
          <w:color w:val="auto"/>
          <w:kern w:val="0"/>
          <w:sz w:val="24"/>
          <w:highlight w:val="none"/>
          <w:lang w:bidi="ar"/>
        </w:rPr>
      </w:pPr>
      <w:r>
        <w:rPr>
          <w:rFonts w:hint="eastAsia" w:asciiTheme="majorEastAsia" w:hAnsiTheme="majorEastAsia" w:eastAsiaTheme="majorEastAsia" w:cstheme="majorEastAsia"/>
          <w:color w:val="auto"/>
          <w:kern w:val="0"/>
          <w:sz w:val="24"/>
          <w:highlight w:val="none"/>
          <w:lang w:bidi="ar"/>
        </w:rPr>
        <w:t>二、服务标准</w:t>
      </w:r>
    </w:p>
    <w:p w14:paraId="6623D82D">
      <w:pPr>
        <w:spacing w:before="158" w:beforeLines="50" w:after="158" w:afterLines="50" w:line="360" w:lineRule="auto"/>
        <w:ind w:firstLine="488" w:firstLineChars="200"/>
        <w:rPr>
          <w:rFonts w:hint="eastAsia" w:asciiTheme="majorEastAsia" w:hAnsiTheme="majorEastAsia" w:eastAsiaTheme="majorEastAsia" w:cstheme="majorEastAsia"/>
          <w:color w:val="auto"/>
          <w:kern w:val="0"/>
          <w:sz w:val="24"/>
          <w:highlight w:val="none"/>
          <w:lang w:bidi="ar"/>
        </w:rPr>
      </w:pPr>
      <w:r>
        <w:rPr>
          <w:rFonts w:hint="eastAsia" w:asciiTheme="majorEastAsia" w:hAnsiTheme="majorEastAsia" w:eastAsiaTheme="majorEastAsia" w:cstheme="majorEastAsia"/>
          <w:color w:val="auto"/>
          <w:kern w:val="0"/>
          <w:sz w:val="24"/>
          <w:highlight w:val="none"/>
          <w:lang w:bidi="ar"/>
        </w:rPr>
        <w:t>符合国家相关标准和行业相关标准。</w:t>
      </w:r>
    </w:p>
    <w:p w14:paraId="0829186F">
      <w:pPr>
        <w:spacing w:before="158" w:beforeLines="50" w:after="158" w:afterLines="50" w:line="360" w:lineRule="auto"/>
        <w:ind w:firstLine="488" w:firstLineChars="200"/>
        <w:rPr>
          <w:rFonts w:hint="eastAsia" w:asciiTheme="majorEastAsia" w:hAnsiTheme="majorEastAsia" w:eastAsiaTheme="majorEastAsia" w:cstheme="majorEastAsia"/>
          <w:color w:val="auto"/>
          <w:kern w:val="0"/>
          <w:sz w:val="24"/>
          <w:highlight w:val="none"/>
          <w:lang w:bidi="ar"/>
        </w:rPr>
      </w:pPr>
      <w:r>
        <w:rPr>
          <w:rFonts w:hint="eastAsia" w:asciiTheme="majorEastAsia" w:hAnsiTheme="majorEastAsia" w:eastAsiaTheme="majorEastAsia" w:cstheme="majorEastAsia"/>
          <w:color w:val="auto"/>
          <w:kern w:val="0"/>
          <w:sz w:val="24"/>
          <w:highlight w:val="none"/>
          <w:lang w:bidi="ar"/>
        </w:rPr>
        <w:t>三、付款方式：</w:t>
      </w:r>
      <w:r>
        <w:rPr>
          <w:rFonts w:hint="eastAsia" w:asciiTheme="majorEastAsia" w:hAnsiTheme="majorEastAsia" w:eastAsiaTheme="majorEastAsia" w:cstheme="majorEastAsia"/>
          <w:color w:val="auto"/>
          <w:kern w:val="0"/>
          <w:sz w:val="24"/>
          <w:highlight w:val="none"/>
          <w:lang w:val="en-US" w:eastAsia="zh-CN" w:bidi="ar"/>
        </w:rPr>
        <w:t>中标</w:t>
      </w:r>
      <w:r>
        <w:rPr>
          <w:rFonts w:hint="eastAsia" w:asciiTheme="majorEastAsia" w:hAnsiTheme="majorEastAsia" w:eastAsiaTheme="majorEastAsia" w:cstheme="majorEastAsia"/>
          <w:color w:val="auto"/>
          <w:kern w:val="0"/>
          <w:sz w:val="24"/>
          <w:highlight w:val="none"/>
          <w:lang w:bidi="ar"/>
        </w:rPr>
        <w:t>供应商与采购人签订合同时协商。</w:t>
      </w:r>
    </w:p>
    <w:p w14:paraId="2B9B04E3">
      <w:pPr>
        <w:spacing w:before="158" w:beforeLines="50" w:after="158" w:afterLines="50" w:line="360" w:lineRule="auto"/>
        <w:ind w:firstLine="488" w:firstLineChars="200"/>
        <w:rPr>
          <w:rFonts w:hint="eastAsia" w:asciiTheme="majorEastAsia" w:hAnsiTheme="majorEastAsia" w:eastAsiaTheme="majorEastAsia" w:cstheme="majorEastAsia"/>
          <w:color w:val="auto"/>
          <w:kern w:val="0"/>
          <w:sz w:val="24"/>
          <w:highlight w:val="none"/>
          <w:lang w:bidi="ar"/>
        </w:rPr>
      </w:pPr>
      <w:r>
        <w:rPr>
          <w:rFonts w:hint="eastAsia" w:asciiTheme="majorEastAsia" w:hAnsiTheme="majorEastAsia" w:eastAsiaTheme="majorEastAsia" w:cstheme="majorEastAsia"/>
          <w:color w:val="auto"/>
          <w:kern w:val="0"/>
          <w:sz w:val="24"/>
          <w:highlight w:val="none"/>
          <w:lang w:bidi="ar"/>
        </w:rPr>
        <w:t>四、履约保证金：/</w:t>
      </w:r>
    </w:p>
    <w:p w14:paraId="75173288">
      <w:pPr>
        <w:spacing w:before="158" w:beforeLines="50" w:after="158" w:afterLines="50" w:line="360" w:lineRule="auto"/>
        <w:ind w:firstLine="488" w:firstLineChars="200"/>
        <w:rPr>
          <w:rFonts w:hint="eastAsia" w:asciiTheme="majorEastAsia" w:hAnsiTheme="majorEastAsia" w:eastAsiaTheme="majorEastAsia" w:cstheme="majorEastAsia"/>
          <w:color w:val="auto"/>
          <w:kern w:val="0"/>
          <w:sz w:val="24"/>
          <w:highlight w:val="none"/>
          <w:lang w:bidi="ar"/>
        </w:rPr>
      </w:pPr>
      <w:r>
        <w:rPr>
          <w:rFonts w:hint="eastAsia" w:asciiTheme="majorEastAsia" w:hAnsiTheme="majorEastAsia" w:eastAsiaTheme="majorEastAsia" w:cstheme="majorEastAsia"/>
          <w:color w:val="auto"/>
          <w:kern w:val="0"/>
          <w:sz w:val="24"/>
          <w:highlight w:val="none"/>
          <w:lang w:bidi="ar"/>
        </w:rPr>
        <w:t>五、投标有效期</w:t>
      </w:r>
    </w:p>
    <w:p w14:paraId="15FA82D8">
      <w:pPr>
        <w:spacing w:before="158" w:beforeLines="50" w:after="158" w:afterLines="50" w:line="360" w:lineRule="auto"/>
        <w:ind w:firstLine="488" w:firstLineChars="200"/>
        <w:rPr>
          <w:rFonts w:hint="eastAsia" w:asciiTheme="majorEastAsia" w:hAnsiTheme="majorEastAsia" w:eastAsiaTheme="majorEastAsia" w:cstheme="majorEastAsia"/>
          <w:color w:val="auto"/>
          <w:kern w:val="0"/>
          <w:sz w:val="24"/>
          <w:highlight w:val="none"/>
          <w:lang w:bidi="ar"/>
        </w:rPr>
      </w:pPr>
      <w:r>
        <w:rPr>
          <w:rFonts w:hint="eastAsia" w:asciiTheme="majorEastAsia" w:hAnsiTheme="majorEastAsia" w:eastAsiaTheme="majorEastAsia" w:cstheme="majorEastAsia"/>
          <w:color w:val="auto"/>
          <w:kern w:val="0"/>
          <w:sz w:val="24"/>
          <w:highlight w:val="none"/>
          <w:lang w:bidi="ar"/>
        </w:rPr>
        <w:t>投标截止日后60日历天</w:t>
      </w:r>
    </w:p>
    <w:p w14:paraId="61A84063">
      <w:pPr>
        <w:spacing w:before="158" w:beforeLines="50" w:after="158" w:afterLines="50" w:line="360" w:lineRule="auto"/>
        <w:ind w:firstLine="488" w:firstLineChars="200"/>
        <w:rPr>
          <w:rFonts w:hint="eastAsia" w:asciiTheme="majorEastAsia" w:hAnsiTheme="majorEastAsia" w:eastAsiaTheme="majorEastAsia" w:cstheme="majorEastAsia"/>
          <w:color w:val="auto"/>
          <w:kern w:val="0"/>
          <w:sz w:val="24"/>
          <w:highlight w:val="none"/>
          <w:lang w:bidi="ar"/>
        </w:rPr>
      </w:pPr>
      <w:r>
        <w:rPr>
          <w:rFonts w:hint="eastAsia" w:asciiTheme="majorEastAsia" w:hAnsiTheme="majorEastAsia" w:eastAsiaTheme="majorEastAsia" w:cstheme="majorEastAsia"/>
          <w:color w:val="auto"/>
          <w:kern w:val="0"/>
          <w:sz w:val="24"/>
          <w:highlight w:val="none"/>
          <w:lang w:bidi="ar"/>
        </w:rPr>
        <w:t>六、售后服务：</w:t>
      </w:r>
      <w:r>
        <w:rPr>
          <w:rFonts w:hint="eastAsia" w:asciiTheme="majorEastAsia" w:hAnsiTheme="majorEastAsia" w:eastAsiaTheme="majorEastAsia" w:cstheme="majorEastAsia"/>
          <w:color w:val="auto"/>
          <w:kern w:val="0"/>
          <w:sz w:val="24"/>
          <w:highlight w:val="none"/>
        </w:rPr>
        <w:t>本项目需成立售后专项服务小组，负责货款结算、维修</w:t>
      </w:r>
      <w:r>
        <w:rPr>
          <w:rFonts w:hint="eastAsia" w:asciiTheme="majorEastAsia" w:hAnsiTheme="majorEastAsia" w:eastAsiaTheme="majorEastAsia" w:cstheme="majorEastAsia"/>
          <w:color w:val="auto"/>
          <w:kern w:val="0"/>
          <w:sz w:val="24"/>
          <w:highlight w:val="none"/>
          <w:lang w:val="en-US" w:eastAsia="zh-CN"/>
        </w:rPr>
        <w:t>维护</w:t>
      </w:r>
      <w:r>
        <w:rPr>
          <w:rFonts w:hint="eastAsia" w:asciiTheme="majorEastAsia" w:hAnsiTheme="majorEastAsia" w:eastAsiaTheme="majorEastAsia" w:cstheme="majorEastAsia"/>
          <w:color w:val="auto"/>
          <w:kern w:val="0"/>
          <w:sz w:val="24"/>
          <w:highlight w:val="none"/>
        </w:rPr>
        <w:t>等各种与本项目有关的服务。且向采购人提供小组名单(内容至少包含姓名、电话、负责事项等内容)。</w:t>
      </w:r>
    </w:p>
    <w:p w14:paraId="3D6401B5">
      <w:pPr>
        <w:spacing w:before="158" w:beforeLines="50" w:after="158" w:afterLines="50" w:line="360" w:lineRule="auto"/>
        <w:ind w:firstLine="488" w:firstLineChars="200"/>
        <w:rPr>
          <w:rFonts w:hint="eastAsia" w:asciiTheme="majorEastAsia" w:hAnsiTheme="majorEastAsia" w:eastAsiaTheme="majorEastAsia" w:cstheme="majorEastAsia"/>
          <w:color w:val="auto"/>
          <w:kern w:val="0"/>
          <w:sz w:val="24"/>
          <w:highlight w:val="none"/>
          <w:lang w:bidi="ar"/>
        </w:rPr>
      </w:pPr>
      <w:r>
        <w:rPr>
          <w:rFonts w:hint="eastAsia" w:asciiTheme="majorEastAsia" w:hAnsiTheme="majorEastAsia" w:eastAsiaTheme="majorEastAsia" w:cstheme="majorEastAsia"/>
          <w:color w:val="auto"/>
          <w:kern w:val="0"/>
          <w:sz w:val="24"/>
          <w:highlight w:val="none"/>
          <w:lang w:bidi="ar"/>
        </w:rPr>
        <w:t>七、质保期</w:t>
      </w:r>
      <w:r>
        <w:rPr>
          <w:rFonts w:hint="eastAsia" w:asciiTheme="majorEastAsia" w:hAnsiTheme="majorEastAsia" w:eastAsiaTheme="majorEastAsia" w:cstheme="majorEastAsia"/>
          <w:color w:val="auto"/>
          <w:kern w:val="0"/>
          <w:sz w:val="24"/>
          <w:highlight w:val="none"/>
          <w:lang w:eastAsia="zh-CN" w:bidi="ar"/>
        </w:rPr>
        <w:t>：</w:t>
      </w:r>
      <w:r>
        <w:rPr>
          <w:rFonts w:hint="eastAsia" w:asciiTheme="majorEastAsia" w:hAnsiTheme="majorEastAsia" w:eastAsiaTheme="majorEastAsia" w:cstheme="majorEastAsia"/>
          <w:color w:val="auto"/>
          <w:kern w:val="0"/>
          <w:sz w:val="24"/>
          <w:highlight w:val="none"/>
          <w:lang w:bidi="ar"/>
        </w:rPr>
        <w:t>/</w:t>
      </w:r>
    </w:p>
    <w:p w14:paraId="40A23F4A">
      <w:pPr>
        <w:spacing w:before="158" w:beforeLines="50" w:after="158" w:afterLines="50" w:line="360" w:lineRule="auto"/>
        <w:ind w:firstLine="488" w:firstLineChars="200"/>
        <w:rPr>
          <w:rFonts w:hint="eastAsia" w:asciiTheme="majorEastAsia" w:hAnsiTheme="majorEastAsia" w:eastAsiaTheme="majorEastAsia" w:cstheme="majorEastAsia"/>
          <w:color w:val="auto"/>
          <w:kern w:val="0"/>
          <w:sz w:val="24"/>
          <w:highlight w:val="none"/>
          <w:lang w:bidi="ar"/>
        </w:rPr>
      </w:pPr>
      <w:r>
        <w:rPr>
          <w:rFonts w:hint="eastAsia" w:asciiTheme="majorEastAsia" w:hAnsiTheme="majorEastAsia" w:eastAsiaTheme="majorEastAsia" w:cstheme="majorEastAsia"/>
          <w:color w:val="auto"/>
          <w:kern w:val="0"/>
          <w:sz w:val="24"/>
          <w:highlight w:val="none"/>
          <w:lang w:bidi="ar"/>
        </w:rPr>
        <w:t>其他要求：无</w:t>
      </w:r>
    </w:p>
    <w:p w14:paraId="2ED67978">
      <w:pPr>
        <w:pStyle w:val="8"/>
        <w:numPr>
          <w:ilvl w:val="255"/>
          <w:numId w:val="0"/>
        </w:numPr>
        <w:spacing w:after="0"/>
        <w:rPr>
          <w:rFonts w:hint="eastAsia" w:asciiTheme="majorEastAsia" w:hAnsiTheme="majorEastAsia" w:eastAsiaTheme="majorEastAsia" w:cstheme="majorEastAsia"/>
          <w:color w:val="auto"/>
          <w:sz w:val="32"/>
          <w:highlight w:val="none"/>
        </w:rPr>
      </w:pPr>
    </w:p>
    <w:p w14:paraId="0EAE78FC">
      <w:pPr>
        <w:pStyle w:val="8"/>
        <w:numPr>
          <w:ilvl w:val="255"/>
          <w:numId w:val="0"/>
        </w:numPr>
        <w:spacing w:after="0"/>
        <w:rPr>
          <w:rFonts w:hint="eastAsia" w:asciiTheme="majorEastAsia" w:hAnsiTheme="majorEastAsia" w:eastAsiaTheme="majorEastAsia" w:cstheme="majorEastAsia"/>
          <w:color w:val="auto"/>
          <w:sz w:val="32"/>
          <w:highlight w:val="none"/>
        </w:rPr>
      </w:pPr>
    </w:p>
    <w:p w14:paraId="6375B6EE">
      <w:pPr>
        <w:pStyle w:val="8"/>
        <w:numPr>
          <w:ilvl w:val="255"/>
          <w:numId w:val="0"/>
        </w:numPr>
        <w:spacing w:after="0"/>
        <w:rPr>
          <w:rFonts w:hint="eastAsia" w:asciiTheme="majorEastAsia" w:hAnsiTheme="majorEastAsia" w:eastAsiaTheme="majorEastAsia" w:cstheme="majorEastAsia"/>
          <w:color w:val="auto"/>
          <w:sz w:val="32"/>
          <w:highlight w:val="none"/>
        </w:rPr>
      </w:pPr>
    </w:p>
    <w:p w14:paraId="5E27BF59">
      <w:pPr>
        <w:pStyle w:val="8"/>
        <w:numPr>
          <w:ilvl w:val="255"/>
          <w:numId w:val="0"/>
        </w:numPr>
        <w:spacing w:after="0"/>
        <w:rPr>
          <w:rFonts w:hint="eastAsia" w:asciiTheme="majorEastAsia" w:hAnsiTheme="majorEastAsia" w:eastAsiaTheme="majorEastAsia" w:cstheme="majorEastAsia"/>
          <w:color w:val="auto"/>
          <w:sz w:val="32"/>
          <w:highlight w:val="none"/>
        </w:rPr>
      </w:pPr>
    </w:p>
    <w:p w14:paraId="0A409968">
      <w:pPr>
        <w:pStyle w:val="8"/>
        <w:numPr>
          <w:ilvl w:val="255"/>
          <w:numId w:val="0"/>
        </w:numPr>
        <w:spacing w:after="0"/>
        <w:rPr>
          <w:rFonts w:hint="eastAsia" w:asciiTheme="majorEastAsia" w:hAnsiTheme="majorEastAsia" w:eastAsiaTheme="majorEastAsia" w:cstheme="majorEastAsia"/>
          <w:color w:val="auto"/>
          <w:sz w:val="32"/>
          <w:highlight w:val="none"/>
        </w:rPr>
      </w:pPr>
    </w:p>
    <w:p w14:paraId="06189D99">
      <w:pPr>
        <w:pStyle w:val="8"/>
        <w:numPr>
          <w:ilvl w:val="255"/>
          <w:numId w:val="0"/>
        </w:numPr>
        <w:spacing w:after="0"/>
        <w:rPr>
          <w:rFonts w:hint="eastAsia" w:asciiTheme="majorEastAsia" w:hAnsiTheme="majorEastAsia" w:eastAsiaTheme="majorEastAsia" w:cstheme="majorEastAsia"/>
          <w:color w:val="auto"/>
          <w:sz w:val="32"/>
          <w:highlight w:val="none"/>
        </w:rPr>
      </w:pPr>
    </w:p>
    <w:bookmarkEnd w:id="0"/>
    <w:p w14:paraId="7160AEAA">
      <w:pPr>
        <w:pStyle w:val="8"/>
        <w:spacing w:line="360" w:lineRule="auto"/>
        <w:jc w:val="both"/>
        <w:rPr>
          <w:rFonts w:asciiTheme="majorEastAsia" w:hAnsiTheme="majorEastAsia" w:eastAsiaTheme="majorEastAsia" w:cstheme="majorEastAsia"/>
          <w:color w:val="auto"/>
          <w:sz w:val="32"/>
          <w:highlight w:val="none"/>
        </w:rPr>
      </w:pPr>
    </w:p>
    <w:p w14:paraId="440D3216">
      <w:pPr>
        <w:pStyle w:val="8"/>
        <w:spacing w:line="360" w:lineRule="auto"/>
        <w:ind w:firstLine="648" w:firstLineChars="200"/>
        <w:jc w:val="center"/>
        <w:rPr>
          <w:rFonts w:asciiTheme="majorEastAsia" w:hAnsiTheme="majorEastAsia" w:eastAsiaTheme="majorEastAsia" w:cstheme="majorEastAsia"/>
          <w:color w:val="auto"/>
          <w:sz w:val="32"/>
          <w:highlight w:val="none"/>
        </w:rPr>
      </w:pPr>
      <w:r>
        <w:rPr>
          <w:rFonts w:hint="eastAsia" w:asciiTheme="majorEastAsia" w:hAnsiTheme="majorEastAsia" w:eastAsiaTheme="majorEastAsia" w:cstheme="majorEastAsia"/>
          <w:color w:val="auto"/>
          <w:sz w:val="32"/>
          <w:highlight w:val="none"/>
        </w:rPr>
        <w:t>第六章合同条款（参考模板）</w:t>
      </w:r>
    </w:p>
    <w:p w14:paraId="48EBE951">
      <w:pPr>
        <w:pStyle w:val="8"/>
        <w:spacing w:line="360" w:lineRule="auto"/>
        <w:ind w:firstLine="648" w:firstLineChars="200"/>
        <w:jc w:val="center"/>
        <w:rPr>
          <w:rFonts w:asciiTheme="majorEastAsia" w:hAnsiTheme="majorEastAsia" w:eastAsiaTheme="majorEastAsia" w:cstheme="majorEastAsia"/>
          <w:color w:val="auto"/>
          <w:sz w:val="32"/>
          <w:highlight w:val="none"/>
        </w:rPr>
      </w:pPr>
    </w:p>
    <w:p w14:paraId="5934D6DF">
      <w:pPr>
        <w:tabs>
          <w:tab w:val="left" w:pos="720"/>
        </w:tabs>
        <w:ind w:firstLine="1446"/>
        <w:jc w:val="center"/>
        <w:rPr>
          <w:rFonts w:asciiTheme="majorEastAsia" w:hAnsiTheme="majorEastAsia" w:eastAsiaTheme="majorEastAsia" w:cstheme="majorEastAsia"/>
          <w:b/>
          <w:color w:val="auto"/>
          <w:sz w:val="72"/>
          <w:szCs w:val="72"/>
          <w:highlight w:val="none"/>
        </w:rPr>
      </w:pPr>
      <w:r>
        <w:rPr>
          <w:rFonts w:hint="eastAsia" w:asciiTheme="majorEastAsia" w:hAnsiTheme="majorEastAsia" w:eastAsiaTheme="majorEastAsia" w:cstheme="majorEastAsia"/>
          <w:b/>
          <w:color w:val="auto"/>
          <w:sz w:val="72"/>
          <w:szCs w:val="72"/>
          <w:highlight w:val="none"/>
          <w:u w:val="single"/>
        </w:rPr>
        <w:t xml:space="preserve">         </w:t>
      </w:r>
      <w:r>
        <w:rPr>
          <w:rFonts w:hint="eastAsia" w:asciiTheme="majorEastAsia" w:hAnsiTheme="majorEastAsia" w:eastAsiaTheme="majorEastAsia" w:cstheme="majorEastAsia"/>
          <w:b/>
          <w:color w:val="auto"/>
          <w:sz w:val="72"/>
          <w:szCs w:val="72"/>
          <w:highlight w:val="none"/>
        </w:rPr>
        <w:t>政府采购</w:t>
      </w:r>
    </w:p>
    <w:p w14:paraId="2FBC56A5">
      <w:pPr>
        <w:tabs>
          <w:tab w:val="left" w:pos="720"/>
        </w:tabs>
        <w:ind w:firstLine="1446"/>
        <w:jc w:val="center"/>
        <w:rPr>
          <w:rFonts w:asciiTheme="majorEastAsia" w:hAnsiTheme="majorEastAsia" w:eastAsiaTheme="majorEastAsia" w:cstheme="majorEastAsia"/>
          <w:b/>
          <w:color w:val="auto"/>
          <w:sz w:val="72"/>
          <w:szCs w:val="72"/>
          <w:highlight w:val="none"/>
        </w:rPr>
      </w:pPr>
    </w:p>
    <w:p w14:paraId="48795CED">
      <w:pPr>
        <w:tabs>
          <w:tab w:val="left" w:pos="720"/>
        </w:tabs>
        <w:ind w:firstLine="1446"/>
        <w:jc w:val="center"/>
        <w:rPr>
          <w:rFonts w:asciiTheme="majorEastAsia" w:hAnsiTheme="majorEastAsia" w:eastAsiaTheme="majorEastAsia" w:cstheme="majorEastAsia"/>
          <w:b/>
          <w:color w:val="auto"/>
          <w:sz w:val="72"/>
          <w:szCs w:val="72"/>
          <w:highlight w:val="none"/>
        </w:rPr>
      </w:pPr>
      <w:r>
        <w:rPr>
          <w:rFonts w:hint="eastAsia" w:asciiTheme="majorEastAsia" w:hAnsiTheme="majorEastAsia" w:eastAsiaTheme="majorEastAsia" w:cstheme="majorEastAsia"/>
          <w:b/>
          <w:color w:val="auto"/>
          <w:sz w:val="72"/>
          <w:szCs w:val="72"/>
          <w:highlight w:val="none"/>
        </w:rPr>
        <w:t>合 同 书</w:t>
      </w:r>
    </w:p>
    <w:p w14:paraId="66FCE2EF">
      <w:pPr>
        <w:tabs>
          <w:tab w:val="left" w:pos="720"/>
        </w:tabs>
        <w:ind w:firstLine="883"/>
        <w:jc w:val="center"/>
        <w:rPr>
          <w:rFonts w:asciiTheme="majorEastAsia" w:hAnsiTheme="majorEastAsia" w:eastAsiaTheme="majorEastAsia" w:cstheme="majorEastAsia"/>
          <w:b/>
          <w:color w:val="auto"/>
          <w:sz w:val="44"/>
          <w:szCs w:val="44"/>
          <w:highlight w:val="none"/>
        </w:rPr>
      </w:pPr>
      <w:r>
        <w:rPr>
          <w:rFonts w:hint="eastAsia" w:asciiTheme="majorEastAsia" w:hAnsiTheme="majorEastAsia" w:eastAsiaTheme="majorEastAsia" w:cstheme="majorEastAsia"/>
          <w:b/>
          <w:color w:val="auto"/>
          <w:sz w:val="44"/>
          <w:szCs w:val="44"/>
          <w:highlight w:val="none"/>
        </w:rPr>
        <w:t>（服务类）</w:t>
      </w:r>
    </w:p>
    <w:p w14:paraId="4284A39B">
      <w:pPr>
        <w:tabs>
          <w:tab w:val="left" w:pos="720"/>
        </w:tabs>
        <w:ind w:firstLine="883"/>
        <w:jc w:val="center"/>
        <w:rPr>
          <w:rFonts w:asciiTheme="majorEastAsia" w:hAnsiTheme="majorEastAsia" w:eastAsiaTheme="majorEastAsia" w:cstheme="majorEastAsia"/>
          <w:b/>
          <w:color w:val="auto"/>
          <w:sz w:val="44"/>
          <w:szCs w:val="44"/>
          <w:highlight w:val="none"/>
        </w:rPr>
      </w:pPr>
    </w:p>
    <w:p w14:paraId="768D2F62">
      <w:pPr>
        <w:tabs>
          <w:tab w:val="left" w:pos="720"/>
        </w:tabs>
        <w:ind w:firstLine="883"/>
        <w:jc w:val="center"/>
        <w:rPr>
          <w:rFonts w:asciiTheme="majorEastAsia" w:hAnsiTheme="majorEastAsia" w:eastAsiaTheme="majorEastAsia" w:cstheme="majorEastAsia"/>
          <w:b/>
          <w:color w:val="auto"/>
          <w:sz w:val="44"/>
          <w:szCs w:val="44"/>
          <w:highlight w:val="none"/>
        </w:rPr>
      </w:pPr>
    </w:p>
    <w:p w14:paraId="68799BD7">
      <w:pPr>
        <w:tabs>
          <w:tab w:val="left" w:pos="720"/>
        </w:tabs>
        <w:ind w:firstLine="883"/>
        <w:jc w:val="center"/>
        <w:rPr>
          <w:rFonts w:asciiTheme="majorEastAsia" w:hAnsiTheme="majorEastAsia" w:eastAsiaTheme="majorEastAsia" w:cstheme="majorEastAsia"/>
          <w:b/>
          <w:color w:val="auto"/>
          <w:sz w:val="44"/>
          <w:szCs w:val="44"/>
          <w:highlight w:val="none"/>
        </w:rPr>
      </w:pPr>
    </w:p>
    <w:p w14:paraId="0627C514">
      <w:pPr>
        <w:tabs>
          <w:tab w:val="left" w:pos="720"/>
        </w:tabs>
        <w:rPr>
          <w:rFonts w:asciiTheme="majorEastAsia" w:hAnsiTheme="majorEastAsia" w:eastAsiaTheme="majorEastAsia" w:cstheme="majorEastAsia"/>
          <w:b/>
          <w:color w:val="auto"/>
          <w:sz w:val="44"/>
          <w:szCs w:val="44"/>
          <w:highlight w:val="none"/>
        </w:rPr>
      </w:pPr>
    </w:p>
    <w:p w14:paraId="66C38826">
      <w:pPr>
        <w:pStyle w:val="10"/>
        <w:rPr>
          <w:rFonts w:asciiTheme="majorEastAsia" w:hAnsiTheme="majorEastAsia" w:eastAsiaTheme="majorEastAsia" w:cstheme="majorEastAsia"/>
          <w:b/>
          <w:color w:val="auto"/>
          <w:sz w:val="44"/>
          <w:szCs w:val="44"/>
          <w:highlight w:val="none"/>
        </w:rPr>
      </w:pPr>
    </w:p>
    <w:p w14:paraId="5044A7AD">
      <w:pPr>
        <w:rPr>
          <w:rFonts w:asciiTheme="majorEastAsia" w:hAnsiTheme="majorEastAsia" w:eastAsiaTheme="majorEastAsia" w:cstheme="majorEastAsia"/>
          <w:b/>
          <w:color w:val="auto"/>
          <w:sz w:val="44"/>
          <w:szCs w:val="44"/>
          <w:highlight w:val="none"/>
        </w:rPr>
      </w:pPr>
    </w:p>
    <w:p w14:paraId="060E81DD">
      <w:pPr>
        <w:pStyle w:val="10"/>
        <w:rPr>
          <w:rFonts w:asciiTheme="majorEastAsia" w:hAnsiTheme="majorEastAsia" w:eastAsiaTheme="majorEastAsia" w:cstheme="majorEastAsia"/>
          <w:b/>
          <w:color w:val="auto"/>
          <w:sz w:val="44"/>
          <w:szCs w:val="44"/>
          <w:highlight w:val="none"/>
        </w:rPr>
      </w:pPr>
    </w:p>
    <w:p w14:paraId="21042B93">
      <w:pPr>
        <w:rPr>
          <w:rFonts w:asciiTheme="majorEastAsia" w:hAnsiTheme="majorEastAsia" w:eastAsiaTheme="majorEastAsia" w:cstheme="majorEastAsia"/>
          <w:color w:val="auto"/>
          <w:highlight w:val="none"/>
        </w:rPr>
      </w:pPr>
    </w:p>
    <w:p w14:paraId="72594152">
      <w:pPr>
        <w:tabs>
          <w:tab w:val="left" w:pos="720"/>
        </w:tabs>
        <w:ind w:firstLine="562"/>
        <w:rPr>
          <w:rFonts w:asciiTheme="majorEastAsia" w:hAnsiTheme="majorEastAsia" w:eastAsiaTheme="majorEastAsia" w:cstheme="majorEastAsia"/>
          <w:b/>
          <w:color w:val="auto"/>
          <w:sz w:val="28"/>
          <w:szCs w:val="28"/>
          <w:highlight w:val="none"/>
        </w:rPr>
      </w:pPr>
    </w:p>
    <w:tbl>
      <w:tblPr>
        <w:tblStyle w:val="20"/>
        <w:tblW w:w="5400" w:type="dxa"/>
        <w:jc w:val="center"/>
        <w:tblLayout w:type="fixed"/>
        <w:tblCellMar>
          <w:top w:w="0" w:type="dxa"/>
          <w:left w:w="108" w:type="dxa"/>
          <w:bottom w:w="0" w:type="dxa"/>
          <w:right w:w="108" w:type="dxa"/>
        </w:tblCellMar>
      </w:tblPr>
      <w:tblGrid>
        <w:gridCol w:w="5400"/>
      </w:tblGrid>
      <w:tr w14:paraId="0A8AB3F0">
        <w:tblPrEx>
          <w:tblCellMar>
            <w:top w:w="0" w:type="dxa"/>
            <w:left w:w="108" w:type="dxa"/>
            <w:bottom w:w="0" w:type="dxa"/>
            <w:right w:w="108" w:type="dxa"/>
          </w:tblCellMar>
        </w:tblPrEx>
        <w:trPr>
          <w:trHeight w:val="446" w:hRule="atLeast"/>
          <w:jc w:val="center"/>
        </w:trPr>
        <w:tc>
          <w:tcPr>
            <w:tcW w:w="5400" w:type="dxa"/>
          </w:tcPr>
          <w:p w14:paraId="2E640B96">
            <w:pPr>
              <w:tabs>
                <w:tab w:val="left" w:pos="720"/>
              </w:tabs>
              <w:ind w:firstLine="723"/>
              <w:rPr>
                <w:rFonts w:asciiTheme="majorEastAsia" w:hAnsiTheme="majorEastAsia" w:eastAsiaTheme="majorEastAsia" w:cstheme="majorEastAsia"/>
                <w:b/>
                <w:color w:val="auto"/>
                <w:sz w:val="36"/>
                <w:szCs w:val="36"/>
                <w:highlight w:val="none"/>
                <w:u w:val="single"/>
              </w:rPr>
            </w:pPr>
            <w:r>
              <w:rPr>
                <w:rFonts w:hint="eastAsia" w:asciiTheme="majorEastAsia" w:hAnsiTheme="majorEastAsia" w:eastAsiaTheme="majorEastAsia" w:cstheme="majorEastAsia"/>
                <w:b/>
                <w:color w:val="auto"/>
                <w:sz w:val="36"/>
                <w:szCs w:val="36"/>
                <w:highlight w:val="none"/>
              </w:rPr>
              <w:t>采购编号：</w:t>
            </w:r>
            <w:r>
              <w:rPr>
                <w:rFonts w:hint="eastAsia" w:asciiTheme="majorEastAsia" w:hAnsiTheme="majorEastAsia" w:eastAsiaTheme="majorEastAsia" w:cstheme="majorEastAsia"/>
                <w:b/>
                <w:color w:val="auto"/>
                <w:sz w:val="36"/>
                <w:szCs w:val="36"/>
                <w:highlight w:val="none"/>
                <w:u w:val="single"/>
              </w:rPr>
              <w:t xml:space="preserve">                          </w:t>
            </w:r>
            <w:r>
              <w:rPr>
                <w:rFonts w:hint="eastAsia" w:asciiTheme="majorEastAsia" w:hAnsiTheme="majorEastAsia" w:eastAsiaTheme="majorEastAsia" w:cstheme="majorEastAsia"/>
                <w:b/>
                <w:color w:val="auto"/>
                <w:sz w:val="36"/>
                <w:szCs w:val="36"/>
                <w:highlight w:val="none"/>
              </w:rPr>
              <w:t xml:space="preserve">           </w:t>
            </w:r>
          </w:p>
        </w:tc>
      </w:tr>
      <w:tr w14:paraId="508E4777">
        <w:tblPrEx>
          <w:tblCellMar>
            <w:top w:w="0" w:type="dxa"/>
            <w:left w:w="108" w:type="dxa"/>
            <w:bottom w:w="0" w:type="dxa"/>
            <w:right w:w="108" w:type="dxa"/>
          </w:tblCellMar>
        </w:tblPrEx>
        <w:trPr>
          <w:trHeight w:val="446" w:hRule="atLeast"/>
          <w:jc w:val="center"/>
        </w:trPr>
        <w:tc>
          <w:tcPr>
            <w:tcW w:w="5400" w:type="dxa"/>
          </w:tcPr>
          <w:p w14:paraId="0B6D133A">
            <w:pPr>
              <w:tabs>
                <w:tab w:val="left" w:pos="720"/>
              </w:tabs>
              <w:ind w:firstLine="723"/>
              <w:rPr>
                <w:rFonts w:asciiTheme="majorEastAsia" w:hAnsiTheme="majorEastAsia" w:eastAsiaTheme="majorEastAsia" w:cstheme="majorEastAsia"/>
                <w:b/>
                <w:color w:val="auto"/>
                <w:sz w:val="36"/>
                <w:szCs w:val="36"/>
                <w:highlight w:val="none"/>
                <w:u w:val="single"/>
              </w:rPr>
            </w:pPr>
          </w:p>
        </w:tc>
      </w:tr>
      <w:tr w14:paraId="30144742">
        <w:tblPrEx>
          <w:tblCellMar>
            <w:top w:w="0" w:type="dxa"/>
            <w:left w:w="108" w:type="dxa"/>
            <w:bottom w:w="0" w:type="dxa"/>
            <w:right w:w="108" w:type="dxa"/>
          </w:tblCellMar>
        </w:tblPrEx>
        <w:trPr>
          <w:trHeight w:val="446" w:hRule="atLeast"/>
          <w:jc w:val="center"/>
        </w:trPr>
        <w:tc>
          <w:tcPr>
            <w:tcW w:w="5400" w:type="dxa"/>
          </w:tcPr>
          <w:p w14:paraId="15B871DE">
            <w:pPr>
              <w:tabs>
                <w:tab w:val="left" w:pos="720"/>
              </w:tabs>
              <w:ind w:firstLine="723"/>
              <w:rPr>
                <w:rFonts w:asciiTheme="majorEastAsia" w:hAnsiTheme="majorEastAsia" w:eastAsiaTheme="majorEastAsia" w:cstheme="majorEastAsia"/>
                <w:b/>
                <w:color w:val="auto"/>
                <w:sz w:val="36"/>
                <w:szCs w:val="36"/>
                <w:highlight w:val="none"/>
              </w:rPr>
            </w:pPr>
            <w:r>
              <w:rPr>
                <w:rFonts w:hint="eastAsia" w:asciiTheme="majorEastAsia" w:hAnsiTheme="majorEastAsia" w:eastAsiaTheme="majorEastAsia" w:cstheme="majorEastAsia"/>
                <w:b/>
                <w:color w:val="auto"/>
                <w:sz w:val="36"/>
                <w:szCs w:val="36"/>
                <w:highlight w:val="none"/>
              </w:rPr>
              <w:t>项目名称：</w:t>
            </w:r>
            <w:r>
              <w:rPr>
                <w:rFonts w:hint="eastAsia" w:asciiTheme="majorEastAsia" w:hAnsiTheme="majorEastAsia" w:eastAsiaTheme="majorEastAsia" w:cstheme="majorEastAsia"/>
                <w:b/>
                <w:color w:val="auto"/>
                <w:sz w:val="36"/>
                <w:szCs w:val="36"/>
                <w:highlight w:val="none"/>
                <w:u w:val="single"/>
              </w:rPr>
              <w:t xml:space="preserve">                           </w:t>
            </w:r>
          </w:p>
        </w:tc>
      </w:tr>
      <w:tr w14:paraId="0B13BCA1">
        <w:tblPrEx>
          <w:tblCellMar>
            <w:top w:w="0" w:type="dxa"/>
            <w:left w:w="108" w:type="dxa"/>
            <w:bottom w:w="0" w:type="dxa"/>
            <w:right w:w="108" w:type="dxa"/>
          </w:tblCellMar>
        </w:tblPrEx>
        <w:trPr>
          <w:trHeight w:val="460" w:hRule="atLeast"/>
          <w:jc w:val="center"/>
        </w:trPr>
        <w:tc>
          <w:tcPr>
            <w:tcW w:w="5400" w:type="dxa"/>
          </w:tcPr>
          <w:p w14:paraId="3DB6D7D7">
            <w:pPr>
              <w:tabs>
                <w:tab w:val="left" w:pos="720"/>
              </w:tabs>
              <w:ind w:firstLine="562"/>
              <w:rPr>
                <w:rFonts w:asciiTheme="majorEastAsia" w:hAnsiTheme="majorEastAsia" w:eastAsiaTheme="majorEastAsia" w:cstheme="majorEastAsia"/>
                <w:b/>
                <w:color w:val="auto"/>
                <w:sz w:val="28"/>
                <w:szCs w:val="28"/>
                <w:highlight w:val="none"/>
              </w:rPr>
            </w:pPr>
          </w:p>
        </w:tc>
      </w:tr>
    </w:tbl>
    <w:p w14:paraId="776152E8">
      <w:pPr>
        <w:tabs>
          <w:tab w:val="left" w:pos="720"/>
        </w:tabs>
        <w:rPr>
          <w:rFonts w:asciiTheme="majorEastAsia" w:hAnsiTheme="majorEastAsia" w:eastAsiaTheme="majorEastAsia" w:cstheme="majorEastAsia"/>
          <w:color w:val="auto"/>
          <w:sz w:val="28"/>
          <w:szCs w:val="28"/>
          <w:highlight w:val="none"/>
        </w:rPr>
      </w:pPr>
    </w:p>
    <w:p w14:paraId="5495CAE7">
      <w:pPr>
        <w:tabs>
          <w:tab w:val="left" w:pos="720"/>
        </w:tabs>
        <w:rPr>
          <w:rFonts w:asciiTheme="majorEastAsia" w:hAnsiTheme="majorEastAsia" w:eastAsiaTheme="majorEastAsia" w:cstheme="majorEastAsia"/>
          <w:color w:val="auto"/>
          <w:sz w:val="28"/>
          <w:szCs w:val="28"/>
          <w:highlight w:val="none"/>
        </w:rPr>
      </w:pPr>
    </w:p>
    <w:p w14:paraId="1823C3A3">
      <w:pPr>
        <w:pStyle w:val="11"/>
        <w:spacing w:before="317" w:beforeLines="100" w:after="158" w:afterLines="50"/>
        <w:ind w:firstLine="480"/>
        <w:rPr>
          <w:rFonts w:asciiTheme="majorEastAsia" w:hAnsiTheme="majorEastAsia" w:eastAsiaTheme="majorEastAsia" w:cstheme="majorEastAsia"/>
          <w:color w:val="auto"/>
          <w:szCs w:val="24"/>
          <w:highlight w:val="none"/>
        </w:rPr>
      </w:pPr>
      <w:r>
        <w:rPr>
          <w:rFonts w:hint="eastAsia" w:asciiTheme="majorEastAsia" w:hAnsiTheme="majorEastAsia" w:eastAsiaTheme="majorEastAsia" w:cstheme="majorEastAsia"/>
          <w:color w:val="auto"/>
          <w:szCs w:val="24"/>
          <w:highlight w:val="none"/>
        </w:rPr>
        <w:t>甲方：（采购人全称）</w:t>
      </w:r>
    </w:p>
    <w:p w14:paraId="3A430C24">
      <w:pPr>
        <w:pStyle w:val="11"/>
        <w:spacing w:before="317" w:beforeLines="100" w:after="158" w:afterLines="50"/>
        <w:ind w:firstLine="480"/>
        <w:rPr>
          <w:rFonts w:asciiTheme="majorEastAsia" w:hAnsiTheme="majorEastAsia" w:eastAsiaTheme="majorEastAsia" w:cstheme="majorEastAsia"/>
          <w:color w:val="auto"/>
          <w:szCs w:val="24"/>
          <w:highlight w:val="none"/>
        </w:rPr>
      </w:pPr>
      <w:r>
        <w:rPr>
          <w:rFonts w:hint="eastAsia" w:asciiTheme="majorEastAsia" w:hAnsiTheme="majorEastAsia" w:eastAsiaTheme="majorEastAsia" w:cstheme="majorEastAsia"/>
          <w:color w:val="auto"/>
          <w:szCs w:val="24"/>
          <w:highlight w:val="none"/>
        </w:rPr>
        <w:t>乙方：（供应商全称）</w:t>
      </w:r>
    </w:p>
    <w:p w14:paraId="151538B0">
      <w:pPr>
        <w:pStyle w:val="11"/>
        <w:spacing w:before="317" w:beforeLines="100" w:after="158" w:afterLines="50"/>
        <w:ind w:firstLine="480"/>
        <w:rPr>
          <w:rFonts w:asciiTheme="majorEastAsia" w:hAnsiTheme="majorEastAsia" w:eastAsiaTheme="majorEastAsia" w:cstheme="majorEastAsia"/>
          <w:color w:val="auto"/>
          <w:szCs w:val="24"/>
          <w:highlight w:val="none"/>
        </w:rPr>
      </w:pPr>
      <w:r>
        <w:rPr>
          <w:rFonts w:hint="eastAsia" w:asciiTheme="majorEastAsia" w:hAnsiTheme="majorEastAsia" w:eastAsiaTheme="majorEastAsia" w:cstheme="majorEastAsia"/>
          <w:color w:val="auto"/>
          <w:szCs w:val="24"/>
          <w:highlight w:val="none"/>
        </w:rPr>
        <w:t xml:space="preserve">    甲、乙双方根据</w:t>
      </w:r>
      <w:r>
        <w:rPr>
          <w:rFonts w:hint="eastAsia" w:asciiTheme="majorEastAsia" w:hAnsiTheme="majorEastAsia" w:eastAsiaTheme="majorEastAsia" w:cstheme="majorEastAsia"/>
          <w:color w:val="auto"/>
          <w:szCs w:val="24"/>
          <w:highlight w:val="none"/>
          <w:u w:val="single"/>
        </w:rPr>
        <w:t xml:space="preserve">     项目名称       </w:t>
      </w:r>
      <w:r>
        <w:rPr>
          <w:rFonts w:hint="eastAsia" w:asciiTheme="majorEastAsia" w:hAnsiTheme="majorEastAsia" w:eastAsiaTheme="majorEastAsia" w:cstheme="majorEastAsia"/>
          <w:color w:val="auto"/>
          <w:szCs w:val="24"/>
          <w:highlight w:val="none"/>
        </w:rPr>
        <w:t>项目（交易编号：  ,）的 评审 结果，甲方接受乙方为本项目的供应商。甲乙双方根据本项目采购文件、投标文件及招投标过程中确定的有关内容，签署本合同。</w:t>
      </w:r>
    </w:p>
    <w:p w14:paraId="243CE60E">
      <w:pPr>
        <w:ind w:firstLine="482"/>
        <w:rPr>
          <w:rFonts w:asciiTheme="majorEastAsia" w:hAnsiTheme="majorEastAsia" w:eastAsiaTheme="majorEastAsia" w:cstheme="majorEastAsia"/>
          <w:b/>
          <w:color w:val="auto"/>
          <w:highlight w:val="none"/>
        </w:rPr>
      </w:pPr>
      <w:r>
        <w:rPr>
          <w:rFonts w:hint="eastAsia" w:asciiTheme="majorEastAsia" w:hAnsiTheme="majorEastAsia" w:eastAsiaTheme="majorEastAsia" w:cstheme="majorEastAsia"/>
          <w:b/>
          <w:color w:val="auto"/>
          <w:highlight w:val="none"/>
        </w:rPr>
        <w:t>一、合同金额</w:t>
      </w:r>
    </w:p>
    <w:p w14:paraId="0E736370">
      <w:pPr>
        <w:pStyle w:val="11"/>
        <w:ind w:firstLine="480"/>
        <w:rPr>
          <w:rFonts w:asciiTheme="majorEastAsia" w:hAnsiTheme="majorEastAsia" w:eastAsiaTheme="majorEastAsia" w:cstheme="majorEastAsia"/>
          <w:color w:val="auto"/>
          <w:szCs w:val="24"/>
          <w:highlight w:val="none"/>
        </w:rPr>
      </w:pPr>
      <w:r>
        <w:rPr>
          <w:rFonts w:hint="eastAsia" w:asciiTheme="majorEastAsia" w:hAnsiTheme="majorEastAsia" w:eastAsiaTheme="majorEastAsia" w:cstheme="majorEastAsia"/>
          <w:color w:val="auto"/>
          <w:szCs w:val="24"/>
          <w:highlight w:val="none"/>
        </w:rPr>
        <w:t>合同金额为（大写）：_________________元（￥_______________元）人民币。</w:t>
      </w:r>
    </w:p>
    <w:p w14:paraId="7586F52C">
      <w:pPr>
        <w:ind w:firstLine="482"/>
        <w:rPr>
          <w:rFonts w:asciiTheme="majorEastAsia" w:hAnsiTheme="majorEastAsia" w:eastAsiaTheme="majorEastAsia" w:cstheme="majorEastAsia"/>
          <w:b/>
          <w:color w:val="auto"/>
          <w:highlight w:val="none"/>
        </w:rPr>
      </w:pPr>
      <w:r>
        <w:rPr>
          <w:rFonts w:hint="eastAsia" w:asciiTheme="majorEastAsia" w:hAnsiTheme="majorEastAsia" w:eastAsiaTheme="majorEastAsia" w:cstheme="majorEastAsia"/>
          <w:b/>
          <w:color w:val="auto"/>
          <w:highlight w:val="none"/>
        </w:rPr>
        <w:t>二、服务范围</w:t>
      </w:r>
    </w:p>
    <w:p w14:paraId="26F04F52">
      <w:pPr>
        <w:ind w:firstLine="480"/>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　　甲方聘请乙方提供以下服务：</w:t>
      </w:r>
    </w:p>
    <w:p w14:paraId="5399EC11">
      <w:pPr>
        <w:ind w:firstLine="480"/>
        <w:rPr>
          <w:rFonts w:asciiTheme="majorEastAsia" w:hAnsiTheme="majorEastAsia" w:eastAsiaTheme="majorEastAsia" w:cstheme="majorEastAsia"/>
          <w:color w:val="auto"/>
          <w:highlight w:val="none"/>
          <w:u w:val="single"/>
        </w:rPr>
      </w:pPr>
      <w:r>
        <w:rPr>
          <w:rFonts w:hint="eastAsia" w:asciiTheme="majorEastAsia" w:hAnsiTheme="majorEastAsia" w:eastAsiaTheme="majorEastAsia" w:cstheme="majorEastAsia"/>
          <w:color w:val="auto"/>
          <w:highlight w:val="none"/>
        </w:rPr>
        <w:t>　　1．本合同项下的服务指</w:t>
      </w:r>
      <w:r>
        <w:rPr>
          <w:rFonts w:hint="eastAsia" w:asciiTheme="majorEastAsia" w:hAnsiTheme="majorEastAsia" w:eastAsiaTheme="majorEastAsia" w:cstheme="majorEastAsia"/>
          <w:color w:val="auto"/>
          <w:highlight w:val="none"/>
          <w:u w:val="single"/>
        </w:rPr>
        <w:t xml:space="preserve">                            </w:t>
      </w:r>
      <w:r>
        <w:rPr>
          <w:rFonts w:hint="eastAsia" w:asciiTheme="majorEastAsia" w:hAnsiTheme="majorEastAsia" w:eastAsiaTheme="majorEastAsia" w:cstheme="majorEastAsia"/>
          <w:color w:val="auto"/>
          <w:highlight w:val="none"/>
        </w:rPr>
        <w:t>。</w:t>
      </w:r>
    </w:p>
    <w:p w14:paraId="33A12EBC">
      <w:pPr>
        <w:ind w:firstLine="480"/>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　　2．......</w:t>
      </w:r>
    </w:p>
    <w:p w14:paraId="733449C7">
      <w:pPr>
        <w:ind w:firstLine="856" w:firstLineChars="400"/>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3. ......</w:t>
      </w:r>
    </w:p>
    <w:p w14:paraId="407FA73D">
      <w:pPr>
        <w:ind w:firstLine="482"/>
        <w:rPr>
          <w:rFonts w:asciiTheme="majorEastAsia" w:hAnsiTheme="majorEastAsia" w:eastAsiaTheme="majorEastAsia" w:cstheme="majorEastAsia"/>
          <w:b/>
          <w:color w:val="auto"/>
          <w:highlight w:val="none"/>
        </w:rPr>
      </w:pPr>
      <w:r>
        <w:rPr>
          <w:rFonts w:hint="eastAsia" w:asciiTheme="majorEastAsia" w:hAnsiTheme="majorEastAsia" w:eastAsiaTheme="majorEastAsia" w:cstheme="majorEastAsia"/>
          <w:b/>
          <w:color w:val="auto"/>
          <w:highlight w:val="none"/>
        </w:rPr>
        <w:t>三、服务质量要求</w:t>
      </w:r>
    </w:p>
    <w:p w14:paraId="00FF3F00">
      <w:pPr>
        <w:ind w:firstLine="482"/>
        <w:rPr>
          <w:rFonts w:asciiTheme="majorEastAsia" w:hAnsiTheme="majorEastAsia" w:eastAsiaTheme="majorEastAsia" w:cstheme="majorEastAsia"/>
          <w:b/>
          <w:color w:val="auto"/>
          <w:highlight w:val="none"/>
        </w:rPr>
      </w:pPr>
      <w:r>
        <w:rPr>
          <w:rFonts w:hint="eastAsia" w:asciiTheme="majorEastAsia" w:hAnsiTheme="majorEastAsia" w:eastAsiaTheme="majorEastAsia" w:cstheme="majorEastAsia"/>
          <w:b/>
          <w:color w:val="auto"/>
          <w:highlight w:val="none"/>
        </w:rPr>
        <w:t>四、甲方乙方的权利和义务</w:t>
      </w:r>
    </w:p>
    <w:p w14:paraId="51496021">
      <w:pPr>
        <w:ind w:firstLine="480"/>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　　（一） 甲方的权利和义务</w:t>
      </w:r>
    </w:p>
    <w:p w14:paraId="216A4BCF">
      <w:pPr>
        <w:ind w:left="552" w:firstLine="480"/>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（二）乙方的权利和义务</w:t>
      </w:r>
    </w:p>
    <w:p w14:paraId="696F15E6">
      <w:pPr>
        <w:ind w:firstLine="482"/>
        <w:rPr>
          <w:rFonts w:asciiTheme="majorEastAsia" w:hAnsiTheme="majorEastAsia" w:eastAsiaTheme="majorEastAsia" w:cstheme="majorEastAsia"/>
          <w:b/>
          <w:color w:val="auto"/>
          <w:highlight w:val="none"/>
        </w:rPr>
      </w:pPr>
      <w:r>
        <w:rPr>
          <w:rFonts w:hint="eastAsia" w:asciiTheme="majorEastAsia" w:hAnsiTheme="majorEastAsia" w:eastAsiaTheme="majorEastAsia" w:cstheme="majorEastAsia"/>
          <w:b/>
          <w:color w:val="auto"/>
          <w:highlight w:val="none"/>
        </w:rPr>
        <w:t>五、服务期间（项目完成期限）</w:t>
      </w:r>
    </w:p>
    <w:p w14:paraId="7CBC8B77">
      <w:pPr>
        <w:ind w:firstLine="480"/>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委托服务期间自______年______月至______年______月止。</w:t>
      </w:r>
    </w:p>
    <w:p w14:paraId="588E8510">
      <w:pPr>
        <w:ind w:firstLine="482"/>
        <w:rPr>
          <w:rFonts w:asciiTheme="majorEastAsia" w:hAnsiTheme="majorEastAsia" w:eastAsiaTheme="majorEastAsia" w:cstheme="majorEastAsia"/>
          <w:b/>
          <w:color w:val="auto"/>
          <w:highlight w:val="none"/>
        </w:rPr>
      </w:pPr>
      <w:r>
        <w:rPr>
          <w:rFonts w:hint="eastAsia" w:asciiTheme="majorEastAsia" w:hAnsiTheme="majorEastAsia" w:eastAsiaTheme="majorEastAsia" w:cstheme="majorEastAsia"/>
          <w:b/>
          <w:color w:val="auto"/>
          <w:highlight w:val="none"/>
        </w:rPr>
        <w:t>六、验收及评价考核</w:t>
      </w:r>
    </w:p>
    <w:p w14:paraId="1A53B638">
      <w:pPr>
        <w:ind w:firstLine="482"/>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b/>
          <w:color w:val="auto"/>
          <w:highlight w:val="none"/>
        </w:rPr>
        <w:t>七、付款方式</w:t>
      </w:r>
    </w:p>
    <w:p w14:paraId="79B5674B">
      <w:pPr>
        <w:ind w:firstLine="480"/>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由甲方按下列程序在</w:t>
      </w:r>
      <w:r>
        <w:rPr>
          <w:rFonts w:hint="eastAsia" w:asciiTheme="majorEastAsia" w:hAnsiTheme="majorEastAsia" w:eastAsiaTheme="majorEastAsia" w:cstheme="majorEastAsia"/>
          <w:color w:val="auto"/>
          <w:highlight w:val="none"/>
          <w:u w:val="single"/>
        </w:rPr>
        <w:t xml:space="preserve">        </w:t>
      </w:r>
      <w:r>
        <w:rPr>
          <w:rFonts w:hint="eastAsia" w:asciiTheme="majorEastAsia" w:hAnsiTheme="majorEastAsia" w:eastAsiaTheme="majorEastAsia" w:cstheme="majorEastAsia"/>
          <w:color w:val="auto"/>
          <w:highlight w:val="none"/>
        </w:rPr>
        <w:t>内付款。</w:t>
      </w:r>
    </w:p>
    <w:p w14:paraId="78191753">
      <w:pPr>
        <w:ind w:firstLine="480"/>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1)在合同实施及服务人员到达服务地后__天内，甲方应将第一次付　　款总服务费的__(-%)付给乙方。</w:t>
      </w:r>
    </w:p>
    <w:p w14:paraId="6422594B">
      <w:pPr>
        <w:ind w:firstLine="480"/>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2)第二次付款额应为总服务费的__(-%)，甲方应在乙方已经准备好，并递交了服务报告及其它相关文件，而这些报告和文件符合合同附件上的要求并被甲方验收后付给乙方。</w:t>
      </w:r>
    </w:p>
    <w:p w14:paraId="5FE87377">
      <w:pPr>
        <w:ind w:firstLine="480"/>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3)最后一次付款额应为总服务费的__(-%)，甲方应在乙方递交了服务总结报告和说明并完全履行合同完毕</w:t>
      </w:r>
      <w:r>
        <w:rPr>
          <w:rFonts w:hint="eastAsia" w:asciiTheme="majorEastAsia" w:hAnsiTheme="majorEastAsia" w:eastAsiaTheme="majorEastAsia" w:cstheme="majorEastAsia"/>
          <w:color w:val="auto"/>
          <w:highlight w:val="none"/>
          <w:u w:val="single"/>
        </w:rPr>
        <w:t xml:space="preserve">    </w:t>
      </w:r>
      <w:r>
        <w:rPr>
          <w:rFonts w:hint="eastAsia" w:asciiTheme="majorEastAsia" w:hAnsiTheme="majorEastAsia" w:eastAsiaTheme="majorEastAsia" w:cstheme="majorEastAsia"/>
          <w:color w:val="auto"/>
          <w:highlight w:val="none"/>
        </w:rPr>
        <w:t>日内付给乙方。</w:t>
      </w:r>
    </w:p>
    <w:p w14:paraId="41C9D10D">
      <w:pPr>
        <w:tabs>
          <w:tab w:val="left" w:pos="900"/>
        </w:tabs>
        <w:ind w:firstLine="482"/>
        <w:rPr>
          <w:rFonts w:asciiTheme="majorEastAsia" w:hAnsiTheme="majorEastAsia" w:eastAsiaTheme="majorEastAsia" w:cstheme="majorEastAsia"/>
          <w:b/>
          <w:color w:val="auto"/>
          <w:highlight w:val="none"/>
        </w:rPr>
      </w:pPr>
      <w:r>
        <w:rPr>
          <w:rFonts w:hint="eastAsia" w:asciiTheme="majorEastAsia" w:hAnsiTheme="majorEastAsia" w:eastAsiaTheme="majorEastAsia" w:cstheme="majorEastAsia"/>
          <w:b/>
          <w:color w:val="auto"/>
          <w:highlight w:val="none"/>
        </w:rPr>
        <w:t>八、知识产权产权归属</w:t>
      </w:r>
    </w:p>
    <w:p w14:paraId="67E86220">
      <w:pPr>
        <w:tabs>
          <w:tab w:val="left" w:pos="900"/>
        </w:tabs>
        <w:ind w:firstLine="482"/>
        <w:rPr>
          <w:rFonts w:asciiTheme="majorEastAsia" w:hAnsiTheme="majorEastAsia" w:eastAsiaTheme="majorEastAsia" w:cstheme="majorEastAsia"/>
          <w:b/>
          <w:color w:val="auto"/>
          <w:highlight w:val="none"/>
        </w:rPr>
      </w:pPr>
      <w:r>
        <w:rPr>
          <w:rFonts w:hint="eastAsia" w:asciiTheme="majorEastAsia" w:hAnsiTheme="majorEastAsia" w:eastAsiaTheme="majorEastAsia" w:cstheme="majorEastAsia"/>
          <w:b/>
          <w:color w:val="auto"/>
          <w:highlight w:val="none"/>
        </w:rPr>
        <w:t>九、保密</w:t>
      </w:r>
    </w:p>
    <w:p w14:paraId="0D45D37F">
      <w:pPr>
        <w:tabs>
          <w:tab w:val="left" w:pos="900"/>
        </w:tabs>
        <w:ind w:firstLine="482"/>
        <w:rPr>
          <w:rFonts w:asciiTheme="majorEastAsia" w:hAnsiTheme="majorEastAsia" w:eastAsiaTheme="majorEastAsia" w:cstheme="majorEastAsia"/>
          <w:b/>
          <w:color w:val="auto"/>
          <w:highlight w:val="none"/>
        </w:rPr>
      </w:pPr>
      <w:r>
        <w:rPr>
          <w:rFonts w:hint="eastAsia" w:asciiTheme="majorEastAsia" w:hAnsiTheme="majorEastAsia" w:eastAsiaTheme="majorEastAsia" w:cstheme="majorEastAsia"/>
          <w:b/>
          <w:color w:val="auto"/>
          <w:highlight w:val="none"/>
        </w:rPr>
        <w:t>十、违约责任与赔偿损失</w:t>
      </w:r>
    </w:p>
    <w:p w14:paraId="1CB8FE48">
      <w:pPr>
        <w:tabs>
          <w:tab w:val="left" w:pos="900"/>
        </w:tabs>
        <w:ind w:firstLine="480"/>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1) 乙方提供的服务不符合采购文件、报价文件或本合同规定的，甲方有权拒收，并且乙方须向甲方方支付本合同总价5%的违约金。</w:t>
      </w:r>
    </w:p>
    <w:p w14:paraId="3069D579">
      <w:pPr>
        <w:tabs>
          <w:tab w:val="left" w:pos="720"/>
          <w:tab w:val="left" w:pos="900"/>
        </w:tabs>
        <w:ind w:right="210" w:firstLine="480"/>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2) 乙方未能按本合同规定的交货时间提供服务，从逾期之日起每日按本合同总价3‰的数额向甲方支付违约金；逾期半个月以上的，甲方有权终止合同，由此造成的甲方经济损失由乙方承担。</w:t>
      </w:r>
    </w:p>
    <w:p w14:paraId="7D36F94D">
      <w:pPr>
        <w:ind w:firstLine="480"/>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3) 甲方无正当理由拒收接受服务，到期拒付服务款项的，甲方向乙方偿付本合同总的5%的违约金。甲方人逾期付款，则每日按本合同总价的3‰向乙方偿付违约金。</w:t>
      </w:r>
    </w:p>
    <w:p w14:paraId="227F1F84">
      <w:pPr>
        <w:ind w:firstLine="480"/>
        <w:rPr>
          <w:rFonts w:asciiTheme="majorEastAsia" w:hAnsiTheme="majorEastAsia" w:eastAsiaTheme="majorEastAsia" w:cstheme="majorEastAsia"/>
          <w:bCs/>
          <w:color w:val="auto"/>
          <w:highlight w:val="none"/>
        </w:rPr>
      </w:pPr>
      <w:r>
        <w:rPr>
          <w:rFonts w:hint="eastAsia" w:asciiTheme="majorEastAsia" w:hAnsiTheme="majorEastAsia" w:eastAsiaTheme="majorEastAsia" w:cstheme="majorEastAsia"/>
          <w:bCs/>
          <w:color w:val="auto"/>
          <w:highlight w:val="none"/>
        </w:rPr>
        <w:t>4) 其它违约责任按《中华人民共和国合同法》处理。</w:t>
      </w:r>
    </w:p>
    <w:p w14:paraId="5E548499">
      <w:pPr>
        <w:ind w:firstLine="482"/>
        <w:rPr>
          <w:rFonts w:asciiTheme="majorEastAsia" w:hAnsiTheme="majorEastAsia" w:eastAsiaTheme="majorEastAsia" w:cstheme="majorEastAsia"/>
          <w:b/>
          <w:color w:val="auto"/>
          <w:highlight w:val="none"/>
        </w:rPr>
      </w:pPr>
      <w:r>
        <w:rPr>
          <w:rFonts w:hint="eastAsia" w:asciiTheme="majorEastAsia" w:hAnsiTheme="majorEastAsia" w:eastAsiaTheme="majorEastAsia" w:cstheme="majorEastAsia"/>
          <w:b/>
          <w:color w:val="auto"/>
          <w:highlight w:val="none"/>
        </w:rPr>
        <w:t>十一、争端的解决</w:t>
      </w:r>
    </w:p>
    <w:p w14:paraId="41B5536D">
      <w:pPr>
        <w:ind w:firstLine="480"/>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1)合同执行过程中发生的任何争议，如双方不能通过友好协商解决，按相关法律法规处理。</w:t>
      </w:r>
    </w:p>
    <w:p w14:paraId="387FCDD3">
      <w:pPr>
        <w:ind w:firstLine="480"/>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2）……</w:t>
      </w:r>
    </w:p>
    <w:p w14:paraId="548D9F46">
      <w:pPr>
        <w:ind w:firstLine="482"/>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b/>
          <w:color w:val="auto"/>
          <w:highlight w:val="none"/>
        </w:rPr>
        <w:t>十二、不可抗力：</w:t>
      </w:r>
      <w:r>
        <w:rPr>
          <w:rFonts w:hint="eastAsia" w:asciiTheme="majorEastAsia" w:hAnsiTheme="majorEastAsia" w:eastAsiaTheme="majorEastAsia" w:cstheme="majorEastAsia"/>
          <w:color w:val="auto"/>
          <w:highlight w:val="none"/>
        </w:rPr>
        <w:t>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14:paraId="0FA22ACC">
      <w:pPr>
        <w:ind w:firstLine="482"/>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b/>
          <w:color w:val="auto"/>
          <w:highlight w:val="none"/>
        </w:rPr>
        <w:t>十三、税费：</w:t>
      </w:r>
      <w:r>
        <w:rPr>
          <w:rFonts w:hint="eastAsia" w:asciiTheme="majorEastAsia" w:hAnsiTheme="majorEastAsia" w:eastAsiaTheme="majorEastAsia" w:cstheme="majorEastAsia"/>
          <w:color w:val="auto"/>
          <w:highlight w:val="none"/>
        </w:rPr>
        <w:t>在中国境内、外发生的与本合同执行有关的一切税费均由乙方负担。</w:t>
      </w:r>
    </w:p>
    <w:p w14:paraId="641443D2">
      <w:pPr>
        <w:ind w:firstLine="482"/>
        <w:rPr>
          <w:rFonts w:asciiTheme="majorEastAsia" w:hAnsiTheme="majorEastAsia" w:eastAsiaTheme="majorEastAsia" w:cstheme="majorEastAsia"/>
          <w:b/>
          <w:color w:val="auto"/>
          <w:highlight w:val="none"/>
        </w:rPr>
      </w:pPr>
      <w:r>
        <w:rPr>
          <w:rFonts w:hint="eastAsia" w:asciiTheme="majorEastAsia" w:hAnsiTheme="majorEastAsia" w:eastAsiaTheme="majorEastAsia" w:cstheme="majorEastAsia"/>
          <w:b/>
          <w:color w:val="auto"/>
          <w:highlight w:val="none"/>
        </w:rPr>
        <w:t>十四、其它</w:t>
      </w:r>
    </w:p>
    <w:p w14:paraId="7BFC9E1B">
      <w:pPr>
        <w:ind w:firstLine="480"/>
        <w:rPr>
          <w:rFonts w:asciiTheme="majorEastAsia" w:hAnsiTheme="majorEastAsia" w:eastAsiaTheme="majorEastAsia" w:cstheme="majorEastAsia"/>
          <w:b/>
          <w:color w:val="auto"/>
          <w:highlight w:val="none"/>
        </w:rPr>
      </w:pPr>
      <w:r>
        <w:rPr>
          <w:rFonts w:hint="eastAsia" w:asciiTheme="majorEastAsia" w:hAnsiTheme="majorEastAsia" w:eastAsiaTheme="majorEastAsia" w:cstheme="majorEastAsia"/>
          <w:color w:val="auto"/>
          <w:highlight w:val="none"/>
        </w:rPr>
        <w:t>1) 本合同所有附件、采购文件、投标文件、中标通知书通知书均为合同的有效组成部分，与本合同具有同等法律效力。</w:t>
      </w:r>
    </w:p>
    <w:p w14:paraId="045FEDF7">
      <w:pPr>
        <w:ind w:firstLine="480"/>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bCs/>
          <w:color w:val="auto"/>
          <w:highlight w:val="none"/>
        </w:rPr>
        <w:t xml:space="preserve">2) </w:t>
      </w:r>
      <w:r>
        <w:rPr>
          <w:rFonts w:hint="eastAsia" w:asciiTheme="majorEastAsia" w:hAnsiTheme="majorEastAsia" w:eastAsiaTheme="majorEastAsia" w:cstheme="majorEastAsia"/>
          <w:color w:val="auto"/>
          <w:highlight w:val="none"/>
        </w:rPr>
        <w:t>在执行本合同的过程中，所有经双方签署确认的文件（包括会议纪要、补充协议、往来信函）即成为本合同的有效组成部分。</w:t>
      </w:r>
    </w:p>
    <w:p w14:paraId="1C055855">
      <w:pPr>
        <w:ind w:firstLine="480"/>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 xml:space="preserve">3) 如一方地址、电话、传真号码有变更，应在变更当日内书面通知对方，否则，应承担相应责任。 </w:t>
      </w:r>
    </w:p>
    <w:p w14:paraId="742B1257">
      <w:pPr>
        <w:ind w:firstLine="480"/>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4) 除甲方事先书面同意外，乙方不得部分或全部转让其应履行的合同项下的义务。</w:t>
      </w:r>
    </w:p>
    <w:p w14:paraId="2C51CDF7">
      <w:pPr>
        <w:ind w:firstLine="482"/>
        <w:rPr>
          <w:rFonts w:asciiTheme="majorEastAsia" w:hAnsiTheme="majorEastAsia" w:eastAsiaTheme="majorEastAsia" w:cstheme="majorEastAsia"/>
          <w:b/>
          <w:color w:val="auto"/>
          <w:highlight w:val="none"/>
        </w:rPr>
      </w:pPr>
      <w:r>
        <w:rPr>
          <w:rFonts w:hint="eastAsia" w:asciiTheme="majorEastAsia" w:hAnsiTheme="majorEastAsia" w:eastAsiaTheme="majorEastAsia" w:cstheme="majorEastAsia"/>
          <w:b/>
          <w:color w:val="auto"/>
          <w:highlight w:val="none"/>
        </w:rPr>
        <w:t>十五、合同生效：</w:t>
      </w:r>
    </w:p>
    <w:p w14:paraId="6F7E2474">
      <w:pPr>
        <w:ind w:firstLine="480"/>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1）本合同在甲乙双方法人代表或其授权代表签字盖章后生效。</w:t>
      </w:r>
    </w:p>
    <w:p w14:paraId="0BE2F6F4">
      <w:pPr>
        <w:ind w:firstLine="480"/>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2）合同一式</w:t>
      </w:r>
      <w:r>
        <w:rPr>
          <w:rFonts w:hint="eastAsia" w:asciiTheme="majorEastAsia" w:hAnsiTheme="majorEastAsia" w:eastAsiaTheme="majorEastAsia" w:cstheme="majorEastAsia"/>
          <w:color w:val="auto"/>
          <w:highlight w:val="none"/>
          <w:u w:val="single"/>
        </w:rPr>
        <w:t xml:space="preserve">    </w:t>
      </w:r>
      <w:r>
        <w:rPr>
          <w:rFonts w:hint="eastAsia" w:asciiTheme="majorEastAsia" w:hAnsiTheme="majorEastAsia" w:eastAsiaTheme="majorEastAsia" w:cstheme="majorEastAsia"/>
          <w:color w:val="auto"/>
          <w:highlight w:val="none"/>
        </w:rPr>
        <w:t>份。</w:t>
      </w:r>
    </w:p>
    <w:p w14:paraId="43DB2E5B">
      <w:pPr>
        <w:ind w:firstLine="480"/>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3）同执行中涉及招标资金和招标内容修改或补充的，须经当地财政部门审批，并签订书面补充协议报监督管理部门备案，方可作为主合同不可分割的一部分。</w:t>
      </w:r>
    </w:p>
    <w:p w14:paraId="6A6157D8">
      <w:pPr>
        <w:spacing w:line="340" w:lineRule="exact"/>
        <w:ind w:firstLine="482"/>
        <w:rPr>
          <w:rFonts w:asciiTheme="majorEastAsia" w:hAnsiTheme="majorEastAsia" w:eastAsiaTheme="majorEastAsia" w:cstheme="majorEastAsia"/>
          <w:b/>
          <w:color w:val="auto"/>
          <w:highlight w:val="none"/>
        </w:rPr>
      </w:pPr>
    </w:p>
    <w:p w14:paraId="3B331BCF">
      <w:pPr>
        <w:pStyle w:val="11"/>
        <w:spacing w:before="317" w:beforeLines="100" w:after="158" w:afterLines="50"/>
        <w:ind w:firstLine="482"/>
        <w:rPr>
          <w:rFonts w:asciiTheme="majorEastAsia" w:hAnsiTheme="majorEastAsia" w:eastAsiaTheme="majorEastAsia" w:cstheme="majorEastAsia"/>
          <w:b/>
          <w:color w:val="auto"/>
          <w:szCs w:val="24"/>
          <w:highlight w:val="none"/>
        </w:rPr>
      </w:pPr>
      <w:r>
        <w:rPr>
          <w:rFonts w:hint="eastAsia" w:asciiTheme="majorEastAsia" w:hAnsiTheme="majorEastAsia" w:eastAsiaTheme="majorEastAsia" w:cstheme="majorEastAsia"/>
          <w:b/>
          <w:color w:val="auto"/>
          <w:szCs w:val="24"/>
          <w:highlight w:val="none"/>
        </w:rPr>
        <w:t xml:space="preserve">甲方：                                   乙方： </w:t>
      </w:r>
    </w:p>
    <w:p w14:paraId="314FE00D">
      <w:pPr>
        <w:pStyle w:val="11"/>
        <w:spacing w:before="317" w:beforeLines="100" w:after="158" w:afterLines="50"/>
        <w:ind w:firstLine="482"/>
        <w:rPr>
          <w:rFonts w:asciiTheme="majorEastAsia" w:hAnsiTheme="majorEastAsia" w:eastAsiaTheme="majorEastAsia" w:cstheme="majorEastAsia"/>
          <w:b/>
          <w:color w:val="auto"/>
          <w:szCs w:val="24"/>
          <w:highlight w:val="none"/>
        </w:rPr>
      </w:pPr>
      <w:r>
        <w:rPr>
          <w:rFonts w:hint="eastAsia" w:asciiTheme="majorEastAsia" w:hAnsiTheme="majorEastAsia" w:eastAsiaTheme="majorEastAsia" w:cstheme="majorEastAsia"/>
          <w:b/>
          <w:color w:val="auto"/>
          <w:szCs w:val="24"/>
          <w:highlight w:val="none"/>
        </w:rPr>
        <w:t xml:space="preserve">地址：                                   地址： </w:t>
      </w:r>
    </w:p>
    <w:p w14:paraId="50AE7D07">
      <w:pPr>
        <w:pStyle w:val="11"/>
        <w:spacing w:before="317" w:beforeLines="100" w:after="158" w:afterLines="50"/>
        <w:ind w:firstLine="482"/>
        <w:rPr>
          <w:rFonts w:asciiTheme="majorEastAsia" w:hAnsiTheme="majorEastAsia" w:eastAsiaTheme="majorEastAsia" w:cstheme="majorEastAsia"/>
          <w:b/>
          <w:color w:val="auto"/>
          <w:szCs w:val="24"/>
          <w:highlight w:val="none"/>
        </w:rPr>
      </w:pPr>
      <w:r>
        <w:rPr>
          <w:rFonts w:hint="eastAsia" w:asciiTheme="majorEastAsia" w:hAnsiTheme="majorEastAsia" w:eastAsiaTheme="majorEastAsia" w:cstheme="majorEastAsia"/>
          <w:b/>
          <w:color w:val="auto"/>
          <w:szCs w:val="24"/>
          <w:highlight w:val="none"/>
        </w:rPr>
        <w:t>法定代表人：                             法定代表人：</w:t>
      </w:r>
    </w:p>
    <w:p w14:paraId="05E52767">
      <w:pPr>
        <w:pStyle w:val="11"/>
        <w:spacing w:before="317" w:beforeLines="100" w:after="158" w:afterLines="50"/>
        <w:ind w:firstLine="482"/>
        <w:rPr>
          <w:rFonts w:asciiTheme="majorEastAsia" w:hAnsiTheme="majorEastAsia" w:eastAsiaTheme="majorEastAsia" w:cstheme="majorEastAsia"/>
          <w:b/>
          <w:color w:val="auto"/>
          <w:szCs w:val="24"/>
          <w:highlight w:val="none"/>
        </w:rPr>
      </w:pPr>
      <w:r>
        <w:rPr>
          <w:rFonts w:hint="eastAsia" w:asciiTheme="majorEastAsia" w:hAnsiTheme="majorEastAsia" w:eastAsiaTheme="majorEastAsia" w:cstheme="majorEastAsia"/>
          <w:b/>
          <w:color w:val="auto"/>
          <w:szCs w:val="24"/>
          <w:highlight w:val="none"/>
        </w:rPr>
        <w:t>授权委托代理人：                         授权委托代理人：</w:t>
      </w:r>
    </w:p>
    <w:p w14:paraId="0A517B1A">
      <w:pPr>
        <w:pStyle w:val="11"/>
        <w:spacing w:before="317" w:beforeLines="100" w:after="158" w:afterLines="50"/>
        <w:ind w:firstLine="482"/>
        <w:rPr>
          <w:rFonts w:asciiTheme="majorEastAsia" w:hAnsiTheme="majorEastAsia" w:eastAsiaTheme="majorEastAsia" w:cstheme="majorEastAsia"/>
          <w:b/>
          <w:color w:val="auto"/>
          <w:szCs w:val="24"/>
          <w:highlight w:val="none"/>
        </w:rPr>
      </w:pPr>
      <w:r>
        <w:rPr>
          <w:rFonts w:hint="eastAsia" w:asciiTheme="majorEastAsia" w:hAnsiTheme="majorEastAsia" w:eastAsiaTheme="majorEastAsia" w:cstheme="majorEastAsia"/>
          <w:b/>
          <w:color w:val="auto"/>
          <w:szCs w:val="24"/>
          <w:highlight w:val="none"/>
        </w:rPr>
        <w:t xml:space="preserve">电话：                                   电话：   </w:t>
      </w:r>
    </w:p>
    <w:p w14:paraId="366ECF39">
      <w:pPr>
        <w:pStyle w:val="11"/>
        <w:spacing w:before="317" w:beforeLines="100" w:after="158" w:afterLines="50"/>
        <w:ind w:firstLine="482"/>
        <w:rPr>
          <w:rFonts w:asciiTheme="majorEastAsia" w:hAnsiTheme="majorEastAsia" w:eastAsiaTheme="majorEastAsia" w:cstheme="majorEastAsia"/>
          <w:b/>
          <w:color w:val="auto"/>
          <w:szCs w:val="24"/>
          <w:highlight w:val="none"/>
        </w:rPr>
      </w:pPr>
      <w:r>
        <w:rPr>
          <w:rFonts w:hint="eastAsia" w:asciiTheme="majorEastAsia" w:hAnsiTheme="majorEastAsia" w:eastAsiaTheme="majorEastAsia" w:cstheme="majorEastAsia"/>
          <w:b/>
          <w:color w:val="auto"/>
          <w:szCs w:val="24"/>
          <w:highlight w:val="none"/>
        </w:rPr>
        <w:t>传真：                                   传真：</w:t>
      </w:r>
    </w:p>
    <w:p w14:paraId="7E3AD71C">
      <w:pPr>
        <w:pStyle w:val="11"/>
        <w:spacing w:before="317" w:beforeLines="100" w:after="158" w:afterLines="50"/>
        <w:ind w:firstLine="482"/>
        <w:rPr>
          <w:rFonts w:asciiTheme="majorEastAsia" w:hAnsiTheme="majorEastAsia" w:eastAsiaTheme="majorEastAsia" w:cstheme="majorEastAsia"/>
          <w:b/>
          <w:color w:val="auto"/>
          <w:szCs w:val="24"/>
          <w:highlight w:val="none"/>
        </w:rPr>
      </w:pPr>
      <w:r>
        <w:rPr>
          <w:rFonts w:hint="eastAsia" w:asciiTheme="majorEastAsia" w:hAnsiTheme="majorEastAsia" w:eastAsiaTheme="majorEastAsia" w:cstheme="majorEastAsia"/>
          <w:b/>
          <w:color w:val="auto"/>
          <w:szCs w:val="24"/>
          <w:highlight w:val="none"/>
        </w:rPr>
        <w:t>邮政编码：                               邮政编码：</w:t>
      </w:r>
    </w:p>
    <w:p w14:paraId="1A81AE90">
      <w:pPr>
        <w:pStyle w:val="11"/>
        <w:spacing w:before="317" w:beforeLines="100" w:after="158" w:afterLines="50"/>
        <w:ind w:firstLine="482"/>
        <w:rPr>
          <w:rFonts w:asciiTheme="majorEastAsia" w:hAnsiTheme="majorEastAsia" w:eastAsiaTheme="majorEastAsia" w:cstheme="majorEastAsia"/>
          <w:b/>
          <w:color w:val="auto"/>
          <w:szCs w:val="24"/>
          <w:highlight w:val="none"/>
        </w:rPr>
      </w:pPr>
      <w:r>
        <w:rPr>
          <w:rFonts w:hint="eastAsia" w:asciiTheme="majorEastAsia" w:hAnsiTheme="majorEastAsia" w:eastAsiaTheme="majorEastAsia" w:cstheme="majorEastAsia"/>
          <w:b/>
          <w:color w:val="auto"/>
          <w:szCs w:val="24"/>
          <w:highlight w:val="none"/>
        </w:rPr>
        <w:t xml:space="preserve">                                           开户银行：</w:t>
      </w:r>
    </w:p>
    <w:p w14:paraId="49C319EC">
      <w:pPr>
        <w:pStyle w:val="11"/>
        <w:spacing w:before="317" w:beforeLines="100" w:after="158" w:afterLines="50"/>
        <w:ind w:firstLine="482"/>
        <w:rPr>
          <w:rFonts w:asciiTheme="majorEastAsia" w:hAnsiTheme="majorEastAsia" w:eastAsiaTheme="majorEastAsia" w:cstheme="majorEastAsia"/>
          <w:b/>
          <w:color w:val="auto"/>
          <w:szCs w:val="24"/>
          <w:highlight w:val="none"/>
        </w:rPr>
      </w:pPr>
      <w:r>
        <w:rPr>
          <w:rFonts w:hint="eastAsia" w:asciiTheme="majorEastAsia" w:hAnsiTheme="majorEastAsia" w:eastAsiaTheme="majorEastAsia" w:cstheme="majorEastAsia"/>
          <w:b/>
          <w:color w:val="auto"/>
          <w:szCs w:val="24"/>
          <w:highlight w:val="none"/>
        </w:rPr>
        <w:t xml:space="preserve">                                           账号：</w:t>
      </w:r>
    </w:p>
    <w:p w14:paraId="3E858514">
      <w:pPr>
        <w:pStyle w:val="11"/>
        <w:spacing w:before="317" w:beforeLines="100" w:after="158" w:afterLines="50"/>
        <w:ind w:firstLine="480"/>
        <w:rPr>
          <w:rFonts w:asciiTheme="majorEastAsia" w:hAnsiTheme="majorEastAsia" w:eastAsiaTheme="majorEastAsia" w:cstheme="majorEastAsia"/>
          <w:color w:val="auto"/>
          <w:szCs w:val="24"/>
          <w:highlight w:val="none"/>
        </w:rPr>
      </w:pPr>
    </w:p>
    <w:p w14:paraId="5906ECEE">
      <w:pPr>
        <w:spacing w:line="340" w:lineRule="exact"/>
        <w:ind w:firstLine="480"/>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签订地点：                               签订日期：      年  月  日</w:t>
      </w:r>
    </w:p>
    <w:p w14:paraId="6C4541D9">
      <w:pPr>
        <w:adjustRightInd w:val="0"/>
        <w:snapToGrid w:val="0"/>
        <w:ind w:firstLine="482"/>
        <w:rPr>
          <w:rFonts w:asciiTheme="majorEastAsia" w:hAnsiTheme="majorEastAsia" w:eastAsiaTheme="majorEastAsia" w:cstheme="majorEastAsia"/>
          <w:b/>
          <w:color w:val="auto"/>
          <w:highlight w:val="none"/>
        </w:rPr>
      </w:pPr>
    </w:p>
    <w:p w14:paraId="4C3FAC1A">
      <w:pPr>
        <w:spacing w:line="297" w:lineRule="auto"/>
        <w:rPr>
          <w:rFonts w:asciiTheme="majorEastAsia" w:hAnsiTheme="majorEastAsia" w:eastAsiaTheme="majorEastAsia" w:cstheme="majorEastAsia"/>
          <w:b/>
          <w:color w:val="auto"/>
          <w:highlight w:val="none"/>
        </w:rPr>
      </w:pPr>
      <w:r>
        <w:rPr>
          <w:rFonts w:hint="eastAsia" w:asciiTheme="majorEastAsia" w:hAnsiTheme="majorEastAsia" w:eastAsiaTheme="majorEastAsia" w:cstheme="majorEastAsia"/>
          <w:b/>
          <w:color w:val="auto"/>
          <w:highlight w:val="none"/>
        </w:rPr>
        <w:t>注意事项：本合同条款未尽事宜，由甲乙双方以补充合同约定，原则上不能超越和违背招标及补充文件、投标文件及投标有关承诺的范围及内容。</w:t>
      </w:r>
    </w:p>
    <w:p w14:paraId="134323DB">
      <w:pPr>
        <w:tabs>
          <w:tab w:val="left" w:pos="720"/>
        </w:tabs>
        <w:spacing w:line="360" w:lineRule="auto"/>
        <w:rPr>
          <w:rFonts w:asciiTheme="majorEastAsia" w:hAnsiTheme="majorEastAsia" w:eastAsiaTheme="majorEastAsia" w:cstheme="majorEastAsia"/>
          <w:color w:val="auto"/>
          <w:sz w:val="28"/>
          <w:szCs w:val="28"/>
          <w:highlight w:val="none"/>
        </w:rPr>
      </w:pPr>
    </w:p>
    <w:p w14:paraId="6552A3D5">
      <w:pPr>
        <w:pStyle w:val="8"/>
        <w:spacing w:line="360" w:lineRule="auto"/>
        <w:rPr>
          <w:rFonts w:asciiTheme="majorEastAsia" w:hAnsiTheme="majorEastAsia" w:eastAsiaTheme="majorEastAsia" w:cstheme="majorEastAsia"/>
          <w:color w:val="auto"/>
          <w:sz w:val="32"/>
          <w:highlight w:val="none"/>
        </w:rPr>
      </w:pPr>
    </w:p>
    <w:p w14:paraId="24190FE1">
      <w:pPr>
        <w:pStyle w:val="8"/>
        <w:spacing w:line="360" w:lineRule="auto"/>
        <w:rPr>
          <w:rFonts w:asciiTheme="majorEastAsia" w:hAnsiTheme="majorEastAsia" w:eastAsiaTheme="majorEastAsia" w:cstheme="majorEastAsia"/>
          <w:color w:val="auto"/>
          <w:sz w:val="32"/>
          <w:highlight w:val="none"/>
        </w:rPr>
      </w:pPr>
    </w:p>
    <w:p w14:paraId="56CDB24D">
      <w:pPr>
        <w:pStyle w:val="8"/>
        <w:spacing w:line="360" w:lineRule="auto"/>
        <w:ind w:firstLine="648" w:firstLineChars="200"/>
        <w:jc w:val="center"/>
        <w:rPr>
          <w:rFonts w:asciiTheme="majorEastAsia" w:hAnsiTheme="majorEastAsia" w:eastAsiaTheme="majorEastAsia" w:cstheme="majorEastAsia"/>
          <w:color w:val="auto"/>
          <w:sz w:val="32"/>
          <w:highlight w:val="none"/>
        </w:rPr>
      </w:pPr>
    </w:p>
    <w:p w14:paraId="06B6B5DA">
      <w:pPr>
        <w:pStyle w:val="8"/>
        <w:spacing w:line="360" w:lineRule="auto"/>
        <w:ind w:firstLine="648" w:firstLineChars="200"/>
        <w:jc w:val="center"/>
        <w:rPr>
          <w:rFonts w:asciiTheme="majorEastAsia" w:hAnsiTheme="majorEastAsia" w:eastAsiaTheme="majorEastAsia" w:cstheme="majorEastAsia"/>
          <w:color w:val="auto"/>
          <w:sz w:val="32"/>
          <w:highlight w:val="none"/>
        </w:rPr>
      </w:pPr>
      <w:r>
        <w:rPr>
          <w:rFonts w:hint="eastAsia" w:asciiTheme="majorEastAsia" w:hAnsiTheme="majorEastAsia" w:eastAsiaTheme="majorEastAsia" w:cstheme="majorEastAsia"/>
          <w:color w:val="auto"/>
          <w:sz w:val="32"/>
          <w:highlight w:val="none"/>
        </w:rPr>
        <w:t>第七章投标文件格式</w:t>
      </w:r>
    </w:p>
    <w:p w14:paraId="17730857">
      <w:pPr>
        <w:pStyle w:val="8"/>
        <w:spacing w:line="360" w:lineRule="auto"/>
        <w:ind w:firstLine="648" w:firstLineChars="200"/>
        <w:jc w:val="center"/>
        <w:rPr>
          <w:rFonts w:asciiTheme="majorEastAsia" w:hAnsiTheme="majorEastAsia" w:eastAsiaTheme="majorEastAsia" w:cstheme="majorEastAsia"/>
          <w:color w:val="auto"/>
          <w:sz w:val="32"/>
          <w:highlight w:val="none"/>
        </w:rPr>
      </w:pPr>
    </w:p>
    <w:p w14:paraId="402389E0">
      <w:pPr>
        <w:pStyle w:val="8"/>
        <w:spacing w:line="360" w:lineRule="auto"/>
        <w:ind w:firstLine="648" w:firstLineChars="200"/>
        <w:jc w:val="center"/>
        <w:rPr>
          <w:rFonts w:asciiTheme="majorEastAsia" w:hAnsiTheme="majorEastAsia" w:eastAsiaTheme="majorEastAsia" w:cstheme="majorEastAsia"/>
          <w:color w:val="auto"/>
          <w:sz w:val="32"/>
          <w:highlight w:val="none"/>
        </w:rPr>
      </w:pPr>
    </w:p>
    <w:p w14:paraId="08A23945">
      <w:pPr>
        <w:pStyle w:val="8"/>
        <w:spacing w:line="360" w:lineRule="auto"/>
        <w:ind w:firstLine="648" w:firstLineChars="200"/>
        <w:jc w:val="center"/>
        <w:rPr>
          <w:rFonts w:asciiTheme="majorEastAsia" w:hAnsiTheme="majorEastAsia" w:eastAsiaTheme="majorEastAsia" w:cstheme="majorEastAsia"/>
          <w:color w:val="auto"/>
          <w:sz w:val="32"/>
          <w:highlight w:val="none"/>
        </w:rPr>
      </w:pPr>
    </w:p>
    <w:p w14:paraId="617B3C68">
      <w:pPr>
        <w:pStyle w:val="8"/>
        <w:spacing w:line="360" w:lineRule="auto"/>
        <w:ind w:firstLine="648" w:firstLineChars="200"/>
        <w:jc w:val="center"/>
        <w:rPr>
          <w:rFonts w:asciiTheme="majorEastAsia" w:hAnsiTheme="majorEastAsia" w:eastAsiaTheme="majorEastAsia" w:cstheme="majorEastAsia"/>
          <w:color w:val="auto"/>
          <w:sz w:val="32"/>
          <w:highlight w:val="none"/>
        </w:rPr>
      </w:pPr>
    </w:p>
    <w:p w14:paraId="7F6F6514">
      <w:pPr>
        <w:pStyle w:val="8"/>
        <w:spacing w:line="360" w:lineRule="auto"/>
        <w:ind w:firstLine="648" w:firstLineChars="200"/>
        <w:jc w:val="center"/>
        <w:rPr>
          <w:rFonts w:asciiTheme="majorEastAsia" w:hAnsiTheme="majorEastAsia" w:eastAsiaTheme="majorEastAsia" w:cstheme="majorEastAsia"/>
          <w:color w:val="auto"/>
          <w:sz w:val="32"/>
          <w:highlight w:val="none"/>
        </w:rPr>
      </w:pPr>
    </w:p>
    <w:p w14:paraId="5B11BC34">
      <w:pPr>
        <w:pStyle w:val="8"/>
        <w:spacing w:line="360" w:lineRule="auto"/>
        <w:ind w:firstLine="648" w:firstLineChars="200"/>
        <w:jc w:val="center"/>
        <w:rPr>
          <w:rFonts w:asciiTheme="majorEastAsia" w:hAnsiTheme="majorEastAsia" w:eastAsiaTheme="majorEastAsia" w:cstheme="majorEastAsia"/>
          <w:color w:val="auto"/>
          <w:sz w:val="32"/>
          <w:highlight w:val="none"/>
        </w:rPr>
      </w:pPr>
    </w:p>
    <w:p w14:paraId="5AD7FAAE">
      <w:pPr>
        <w:pStyle w:val="8"/>
        <w:spacing w:line="360" w:lineRule="auto"/>
        <w:ind w:firstLine="648" w:firstLineChars="200"/>
        <w:jc w:val="center"/>
        <w:rPr>
          <w:rFonts w:asciiTheme="majorEastAsia" w:hAnsiTheme="majorEastAsia" w:eastAsiaTheme="majorEastAsia" w:cstheme="majorEastAsia"/>
          <w:color w:val="auto"/>
          <w:sz w:val="32"/>
          <w:highlight w:val="none"/>
        </w:rPr>
      </w:pPr>
    </w:p>
    <w:p w14:paraId="076CE9F2">
      <w:pPr>
        <w:pStyle w:val="8"/>
        <w:spacing w:line="360" w:lineRule="auto"/>
        <w:rPr>
          <w:rFonts w:asciiTheme="majorEastAsia" w:hAnsiTheme="majorEastAsia" w:eastAsiaTheme="majorEastAsia" w:cstheme="majorEastAsia"/>
          <w:color w:val="auto"/>
          <w:sz w:val="32"/>
          <w:highlight w:val="none"/>
        </w:rPr>
      </w:pPr>
    </w:p>
    <w:p w14:paraId="1F12AD7B">
      <w:pPr>
        <w:pStyle w:val="8"/>
        <w:spacing w:line="360" w:lineRule="auto"/>
        <w:rPr>
          <w:rFonts w:asciiTheme="majorEastAsia" w:hAnsiTheme="majorEastAsia" w:eastAsiaTheme="majorEastAsia" w:cstheme="majorEastAsia"/>
          <w:color w:val="auto"/>
          <w:sz w:val="32"/>
          <w:highlight w:val="none"/>
        </w:rPr>
      </w:pPr>
    </w:p>
    <w:p w14:paraId="4277FF12">
      <w:pPr>
        <w:pStyle w:val="8"/>
        <w:spacing w:line="360" w:lineRule="auto"/>
        <w:rPr>
          <w:rFonts w:asciiTheme="majorEastAsia" w:hAnsiTheme="majorEastAsia" w:eastAsiaTheme="majorEastAsia" w:cstheme="majorEastAsia"/>
          <w:color w:val="auto"/>
          <w:sz w:val="32"/>
          <w:highlight w:val="none"/>
        </w:rPr>
      </w:pPr>
    </w:p>
    <w:p w14:paraId="7C2A5393">
      <w:pPr>
        <w:pStyle w:val="8"/>
        <w:spacing w:line="360" w:lineRule="auto"/>
        <w:rPr>
          <w:rFonts w:asciiTheme="majorEastAsia" w:hAnsiTheme="majorEastAsia" w:eastAsiaTheme="majorEastAsia" w:cstheme="majorEastAsia"/>
          <w:color w:val="auto"/>
          <w:sz w:val="32"/>
          <w:highlight w:val="none"/>
        </w:rPr>
      </w:pPr>
    </w:p>
    <w:p w14:paraId="2291AAA5">
      <w:pPr>
        <w:pStyle w:val="8"/>
        <w:spacing w:line="360" w:lineRule="auto"/>
        <w:rPr>
          <w:rFonts w:asciiTheme="majorEastAsia" w:hAnsiTheme="majorEastAsia" w:eastAsiaTheme="majorEastAsia" w:cstheme="majorEastAsia"/>
          <w:color w:val="auto"/>
          <w:sz w:val="32"/>
          <w:highlight w:val="none"/>
        </w:rPr>
      </w:pPr>
    </w:p>
    <w:p w14:paraId="562B65B5">
      <w:pPr>
        <w:pStyle w:val="8"/>
        <w:spacing w:line="360" w:lineRule="auto"/>
        <w:rPr>
          <w:rFonts w:asciiTheme="majorEastAsia" w:hAnsiTheme="majorEastAsia" w:eastAsiaTheme="majorEastAsia" w:cstheme="majorEastAsia"/>
          <w:color w:val="auto"/>
          <w:sz w:val="32"/>
          <w:highlight w:val="none"/>
        </w:rPr>
      </w:pPr>
    </w:p>
    <w:p w14:paraId="347A43B8">
      <w:pPr>
        <w:pStyle w:val="8"/>
        <w:spacing w:line="360" w:lineRule="auto"/>
        <w:ind w:firstLine="648" w:firstLineChars="200"/>
        <w:jc w:val="left"/>
        <w:rPr>
          <w:rFonts w:asciiTheme="majorEastAsia" w:hAnsiTheme="majorEastAsia" w:eastAsiaTheme="majorEastAsia" w:cstheme="majorEastAsia"/>
          <w:color w:val="auto"/>
          <w:sz w:val="32"/>
          <w:highlight w:val="none"/>
        </w:rPr>
      </w:pPr>
      <w:r>
        <w:rPr>
          <w:rFonts w:hint="eastAsia" w:asciiTheme="majorEastAsia" w:hAnsiTheme="majorEastAsia" w:eastAsiaTheme="majorEastAsia" w:cstheme="majorEastAsia"/>
          <w:color w:val="auto"/>
          <w:sz w:val="32"/>
          <w:highlight w:val="none"/>
        </w:rPr>
        <w:t>响应文件封面</w:t>
      </w:r>
    </w:p>
    <w:p w14:paraId="0B224F2E">
      <w:pPr>
        <w:pStyle w:val="8"/>
        <w:spacing w:line="360" w:lineRule="auto"/>
        <w:ind w:firstLine="648" w:firstLineChars="200"/>
        <w:jc w:val="center"/>
        <w:rPr>
          <w:rFonts w:asciiTheme="majorEastAsia" w:hAnsiTheme="majorEastAsia" w:eastAsiaTheme="majorEastAsia" w:cstheme="majorEastAsia"/>
          <w:color w:val="auto"/>
          <w:sz w:val="32"/>
          <w:highlight w:val="none"/>
          <w:u w:val="single"/>
        </w:rPr>
      </w:pPr>
    </w:p>
    <w:p w14:paraId="12F96CD5">
      <w:pPr>
        <w:pStyle w:val="8"/>
        <w:spacing w:line="360" w:lineRule="auto"/>
        <w:ind w:firstLine="648" w:firstLineChars="200"/>
        <w:jc w:val="center"/>
        <w:rPr>
          <w:rFonts w:asciiTheme="majorEastAsia" w:hAnsiTheme="majorEastAsia" w:eastAsiaTheme="majorEastAsia" w:cstheme="majorEastAsia"/>
          <w:color w:val="auto"/>
          <w:sz w:val="32"/>
          <w:highlight w:val="none"/>
          <w:u w:val="single"/>
        </w:rPr>
      </w:pPr>
      <w:r>
        <w:rPr>
          <w:rFonts w:hint="eastAsia" w:asciiTheme="majorEastAsia" w:hAnsiTheme="majorEastAsia" w:eastAsiaTheme="majorEastAsia" w:cstheme="majorEastAsia"/>
          <w:color w:val="auto"/>
          <w:sz w:val="32"/>
          <w:highlight w:val="none"/>
          <w:u w:val="single"/>
        </w:rPr>
        <w:t>项目名称</w:t>
      </w:r>
    </w:p>
    <w:p w14:paraId="32845385">
      <w:pPr>
        <w:pStyle w:val="8"/>
        <w:spacing w:line="360" w:lineRule="auto"/>
        <w:rPr>
          <w:rFonts w:asciiTheme="majorEastAsia" w:hAnsiTheme="majorEastAsia" w:eastAsiaTheme="majorEastAsia" w:cstheme="majorEastAsia"/>
          <w:color w:val="auto"/>
          <w:sz w:val="32"/>
          <w:highlight w:val="none"/>
        </w:rPr>
      </w:pPr>
    </w:p>
    <w:p w14:paraId="6F2DDF70">
      <w:pPr>
        <w:pStyle w:val="8"/>
        <w:spacing w:line="360" w:lineRule="auto"/>
        <w:ind w:firstLine="648" w:firstLineChars="200"/>
        <w:jc w:val="center"/>
        <w:rPr>
          <w:rFonts w:asciiTheme="majorEastAsia" w:hAnsiTheme="majorEastAsia" w:eastAsiaTheme="majorEastAsia" w:cstheme="majorEastAsia"/>
          <w:color w:val="auto"/>
          <w:sz w:val="32"/>
          <w:highlight w:val="none"/>
        </w:rPr>
      </w:pPr>
      <w:r>
        <w:rPr>
          <w:rFonts w:hint="eastAsia" w:asciiTheme="majorEastAsia" w:hAnsiTheme="majorEastAsia" w:eastAsiaTheme="majorEastAsia" w:cstheme="majorEastAsia"/>
          <w:color w:val="auto"/>
          <w:sz w:val="32"/>
          <w:highlight w:val="none"/>
        </w:rPr>
        <w:t>响应文件</w:t>
      </w:r>
    </w:p>
    <w:p w14:paraId="00B0D5D5">
      <w:pPr>
        <w:pStyle w:val="8"/>
        <w:spacing w:line="360" w:lineRule="auto"/>
        <w:ind w:firstLine="648" w:firstLineChars="200"/>
        <w:jc w:val="center"/>
        <w:rPr>
          <w:rFonts w:asciiTheme="majorEastAsia" w:hAnsiTheme="majorEastAsia" w:eastAsiaTheme="majorEastAsia" w:cstheme="majorEastAsia"/>
          <w:color w:val="auto"/>
          <w:sz w:val="32"/>
          <w:highlight w:val="none"/>
        </w:rPr>
      </w:pPr>
    </w:p>
    <w:p w14:paraId="574F9B36">
      <w:pPr>
        <w:pStyle w:val="8"/>
        <w:spacing w:line="360" w:lineRule="auto"/>
        <w:ind w:firstLine="648" w:firstLineChars="200"/>
        <w:jc w:val="center"/>
        <w:rPr>
          <w:rFonts w:asciiTheme="majorEastAsia" w:hAnsiTheme="majorEastAsia" w:eastAsiaTheme="majorEastAsia" w:cstheme="majorEastAsia"/>
          <w:color w:val="auto"/>
          <w:sz w:val="32"/>
          <w:highlight w:val="none"/>
        </w:rPr>
      </w:pPr>
    </w:p>
    <w:p w14:paraId="1667CA0C">
      <w:pPr>
        <w:pStyle w:val="8"/>
        <w:spacing w:line="360" w:lineRule="auto"/>
        <w:jc w:val="left"/>
        <w:rPr>
          <w:rFonts w:asciiTheme="majorEastAsia" w:hAnsiTheme="majorEastAsia" w:eastAsiaTheme="majorEastAsia" w:cstheme="majorEastAsia"/>
          <w:color w:val="auto"/>
          <w:sz w:val="32"/>
          <w:highlight w:val="none"/>
        </w:rPr>
      </w:pPr>
    </w:p>
    <w:p w14:paraId="35D5C093">
      <w:pPr>
        <w:pStyle w:val="8"/>
        <w:spacing w:line="360" w:lineRule="auto"/>
        <w:ind w:firstLine="648" w:firstLineChars="200"/>
        <w:jc w:val="left"/>
        <w:rPr>
          <w:rFonts w:asciiTheme="majorEastAsia" w:hAnsiTheme="majorEastAsia" w:eastAsiaTheme="majorEastAsia" w:cstheme="majorEastAsia"/>
          <w:color w:val="auto"/>
          <w:sz w:val="32"/>
          <w:highlight w:val="none"/>
          <w:u w:val="single"/>
        </w:rPr>
      </w:pPr>
      <w:r>
        <w:rPr>
          <w:rFonts w:hint="eastAsia" w:asciiTheme="majorEastAsia" w:hAnsiTheme="majorEastAsia" w:eastAsiaTheme="majorEastAsia" w:cstheme="majorEastAsia"/>
          <w:color w:val="auto"/>
          <w:sz w:val="32"/>
          <w:highlight w:val="none"/>
        </w:rPr>
        <w:t>项目序列号：</w:t>
      </w:r>
    </w:p>
    <w:p w14:paraId="7D636901">
      <w:pPr>
        <w:pStyle w:val="8"/>
        <w:spacing w:line="360" w:lineRule="auto"/>
        <w:ind w:firstLine="648" w:firstLineChars="200"/>
        <w:jc w:val="left"/>
        <w:rPr>
          <w:rFonts w:asciiTheme="majorEastAsia" w:hAnsiTheme="majorEastAsia" w:eastAsiaTheme="majorEastAsia" w:cstheme="majorEastAsia"/>
          <w:color w:val="auto"/>
          <w:sz w:val="32"/>
          <w:highlight w:val="none"/>
          <w:u w:val="single"/>
        </w:rPr>
      </w:pPr>
      <w:r>
        <w:rPr>
          <w:rFonts w:hint="eastAsia" w:asciiTheme="majorEastAsia" w:hAnsiTheme="majorEastAsia" w:eastAsiaTheme="majorEastAsia" w:cstheme="majorEastAsia"/>
          <w:color w:val="auto"/>
          <w:sz w:val="32"/>
          <w:highlight w:val="none"/>
        </w:rPr>
        <w:t>项目名称：</w:t>
      </w:r>
    </w:p>
    <w:p w14:paraId="0004A8A0">
      <w:pPr>
        <w:pStyle w:val="8"/>
        <w:spacing w:line="360" w:lineRule="auto"/>
        <w:ind w:firstLine="648" w:firstLineChars="200"/>
        <w:jc w:val="left"/>
        <w:rPr>
          <w:rFonts w:asciiTheme="majorEastAsia" w:hAnsiTheme="majorEastAsia" w:eastAsiaTheme="majorEastAsia" w:cstheme="majorEastAsia"/>
          <w:color w:val="auto"/>
          <w:sz w:val="32"/>
          <w:highlight w:val="none"/>
          <w:u w:val="single"/>
        </w:rPr>
      </w:pPr>
      <w:r>
        <w:rPr>
          <w:rFonts w:hint="eastAsia" w:asciiTheme="majorEastAsia" w:hAnsiTheme="majorEastAsia" w:eastAsiaTheme="majorEastAsia" w:cstheme="majorEastAsia"/>
          <w:color w:val="auto"/>
          <w:sz w:val="32"/>
          <w:highlight w:val="none"/>
        </w:rPr>
        <w:t>标包名称：</w:t>
      </w:r>
    </w:p>
    <w:p w14:paraId="664000CD">
      <w:pPr>
        <w:pStyle w:val="8"/>
        <w:spacing w:line="360" w:lineRule="auto"/>
        <w:ind w:firstLine="648" w:firstLineChars="200"/>
        <w:jc w:val="left"/>
        <w:rPr>
          <w:rFonts w:asciiTheme="majorEastAsia" w:hAnsiTheme="majorEastAsia" w:eastAsiaTheme="majorEastAsia" w:cstheme="majorEastAsia"/>
          <w:color w:val="auto"/>
          <w:sz w:val="32"/>
          <w:highlight w:val="none"/>
          <w:u w:val="single"/>
        </w:rPr>
      </w:pPr>
      <w:r>
        <w:rPr>
          <w:rFonts w:hint="eastAsia" w:asciiTheme="majorEastAsia" w:hAnsiTheme="majorEastAsia" w:eastAsiaTheme="majorEastAsia" w:cstheme="majorEastAsia"/>
          <w:color w:val="auto"/>
          <w:sz w:val="32"/>
          <w:highlight w:val="none"/>
        </w:rPr>
        <w:t>标包编号：</w:t>
      </w:r>
    </w:p>
    <w:p w14:paraId="74FF1DA3">
      <w:pPr>
        <w:pStyle w:val="8"/>
        <w:spacing w:line="360" w:lineRule="auto"/>
        <w:ind w:firstLine="648" w:firstLineChars="200"/>
        <w:jc w:val="left"/>
        <w:rPr>
          <w:rFonts w:asciiTheme="majorEastAsia" w:hAnsiTheme="majorEastAsia" w:eastAsiaTheme="majorEastAsia" w:cstheme="majorEastAsia"/>
          <w:color w:val="auto"/>
          <w:sz w:val="32"/>
          <w:highlight w:val="none"/>
          <w:u w:val="single"/>
        </w:rPr>
      </w:pPr>
      <w:r>
        <w:rPr>
          <w:rFonts w:hint="eastAsia" w:asciiTheme="majorEastAsia" w:hAnsiTheme="majorEastAsia" w:eastAsiaTheme="majorEastAsia" w:cstheme="majorEastAsia"/>
          <w:color w:val="auto"/>
          <w:sz w:val="32"/>
          <w:highlight w:val="none"/>
        </w:rPr>
        <w:t>供应商：</w:t>
      </w:r>
    </w:p>
    <w:p w14:paraId="771300BE">
      <w:pPr>
        <w:pStyle w:val="8"/>
        <w:spacing w:line="360" w:lineRule="auto"/>
        <w:ind w:firstLine="648" w:firstLineChars="200"/>
        <w:jc w:val="left"/>
        <w:rPr>
          <w:rFonts w:asciiTheme="majorEastAsia" w:hAnsiTheme="majorEastAsia" w:eastAsiaTheme="majorEastAsia" w:cstheme="majorEastAsia"/>
          <w:color w:val="auto"/>
          <w:sz w:val="32"/>
          <w:highlight w:val="none"/>
          <w:u w:val="single"/>
        </w:rPr>
      </w:pPr>
      <w:r>
        <w:rPr>
          <w:rFonts w:hint="eastAsia" w:asciiTheme="majorEastAsia" w:hAnsiTheme="majorEastAsia" w:eastAsiaTheme="majorEastAsia" w:cstheme="majorEastAsia"/>
          <w:color w:val="auto"/>
          <w:sz w:val="32"/>
          <w:highlight w:val="none"/>
        </w:rPr>
        <w:t>详细地址：</w:t>
      </w:r>
    </w:p>
    <w:p w14:paraId="33D477B6">
      <w:pPr>
        <w:pStyle w:val="8"/>
        <w:spacing w:line="360" w:lineRule="auto"/>
        <w:ind w:firstLine="648" w:firstLineChars="200"/>
        <w:jc w:val="left"/>
        <w:rPr>
          <w:rFonts w:asciiTheme="majorEastAsia" w:hAnsiTheme="majorEastAsia" w:eastAsiaTheme="majorEastAsia" w:cstheme="majorEastAsia"/>
          <w:color w:val="auto"/>
          <w:sz w:val="32"/>
          <w:highlight w:val="none"/>
          <w:u w:val="single"/>
        </w:rPr>
      </w:pPr>
      <w:r>
        <w:rPr>
          <w:rFonts w:hint="eastAsia" w:asciiTheme="majorEastAsia" w:hAnsiTheme="majorEastAsia" w:eastAsiaTheme="majorEastAsia" w:cstheme="majorEastAsia"/>
          <w:color w:val="auto"/>
          <w:sz w:val="32"/>
          <w:highlight w:val="none"/>
        </w:rPr>
        <w:t>联系人：</w:t>
      </w:r>
    </w:p>
    <w:p w14:paraId="080F3465">
      <w:pPr>
        <w:pStyle w:val="8"/>
        <w:spacing w:line="360" w:lineRule="auto"/>
        <w:ind w:firstLine="648" w:firstLineChars="200"/>
        <w:jc w:val="left"/>
        <w:rPr>
          <w:rFonts w:asciiTheme="majorEastAsia" w:hAnsiTheme="majorEastAsia" w:eastAsiaTheme="majorEastAsia" w:cstheme="majorEastAsia"/>
          <w:color w:val="auto"/>
          <w:sz w:val="32"/>
          <w:highlight w:val="none"/>
          <w:u w:val="single"/>
        </w:rPr>
      </w:pPr>
      <w:r>
        <w:rPr>
          <w:rFonts w:hint="eastAsia" w:asciiTheme="majorEastAsia" w:hAnsiTheme="majorEastAsia" w:eastAsiaTheme="majorEastAsia" w:cstheme="majorEastAsia"/>
          <w:color w:val="auto"/>
          <w:sz w:val="32"/>
          <w:highlight w:val="none"/>
        </w:rPr>
        <w:t>电话：</w:t>
      </w:r>
    </w:p>
    <w:p w14:paraId="521EAD3A">
      <w:pPr>
        <w:pStyle w:val="8"/>
        <w:spacing w:line="360" w:lineRule="auto"/>
        <w:ind w:firstLine="648" w:firstLineChars="200"/>
        <w:jc w:val="left"/>
        <w:rPr>
          <w:rFonts w:asciiTheme="majorEastAsia" w:hAnsiTheme="majorEastAsia" w:eastAsiaTheme="majorEastAsia" w:cstheme="majorEastAsia"/>
          <w:color w:val="auto"/>
          <w:sz w:val="32"/>
          <w:highlight w:val="none"/>
          <w:u w:val="single"/>
        </w:rPr>
      </w:pPr>
    </w:p>
    <w:p w14:paraId="6B1D4C2F">
      <w:pPr>
        <w:pStyle w:val="8"/>
        <w:spacing w:line="360" w:lineRule="auto"/>
        <w:jc w:val="left"/>
        <w:rPr>
          <w:rFonts w:asciiTheme="majorEastAsia" w:hAnsiTheme="majorEastAsia" w:eastAsiaTheme="majorEastAsia" w:cstheme="majorEastAsia"/>
          <w:color w:val="auto"/>
          <w:sz w:val="32"/>
          <w:highlight w:val="none"/>
          <w:u w:val="single"/>
        </w:rPr>
      </w:pPr>
    </w:p>
    <w:p w14:paraId="55C931E1">
      <w:pPr>
        <w:pStyle w:val="8"/>
        <w:spacing w:line="360" w:lineRule="auto"/>
        <w:ind w:firstLine="648" w:firstLineChars="200"/>
        <w:jc w:val="center"/>
        <w:rPr>
          <w:rFonts w:asciiTheme="majorEastAsia" w:hAnsiTheme="majorEastAsia" w:eastAsiaTheme="majorEastAsia" w:cstheme="majorEastAsia"/>
          <w:color w:val="auto"/>
          <w:sz w:val="32"/>
          <w:highlight w:val="none"/>
        </w:rPr>
      </w:pPr>
      <w:r>
        <w:rPr>
          <w:rFonts w:hint="eastAsia" w:asciiTheme="majorEastAsia" w:hAnsiTheme="majorEastAsia" w:eastAsiaTheme="majorEastAsia" w:cstheme="majorEastAsia"/>
          <w:color w:val="auto"/>
          <w:sz w:val="32"/>
          <w:highlight w:val="none"/>
        </w:rPr>
        <w:t>一、投标函</w:t>
      </w:r>
    </w:p>
    <w:p w14:paraId="2A6E4506">
      <w:pPr>
        <w:pStyle w:val="8"/>
        <w:spacing w:line="480" w:lineRule="auto"/>
        <w:ind w:firstLine="488" w:firstLineChars="20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w:t>
      </w:r>
      <w:r>
        <w:rPr>
          <w:rFonts w:hint="eastAsia"/>
          <w:sz w:val="24"/>
        </w:rPr>
        <w:t>我公司就</w:t>
      </w:r>
      <w:r>
        <w:rPr>
          <w:rFonts w:hint="eastAsia"/>
          <w:sz w:val="24"/>
          <w:u w:val="single"/>
        </w:rPr>
        <w:t xml:space="preserve">           </w:t>
      </w:r>
      <w:r>
        <w:rPr>
          <w:rFonts w:hint="eastAsia"/>
          <w:sz w:val="24"/>
        </w:rPr>
        <w:t>（</w:t>
      </w:r>
      <w:r>
        <w:rPr>
          <w:rFonts w:hint="eastAsia" w:hAnsi="宋体" w:cs="宋体"/>
          <w:sz w:val="24"/>
        </w:rPr>
        <w:t>项目名称</w:t>
      </w:r>
      <w:r>
        <w:rPr>
          <w:rFonts w:hint="eastAsia"/>
          <w:sz w:val="24"/>
        </w:rPr>
        <w:t>）</w:t>
      </w:r>
      <w:r>
        <w:rPr>
          <w:rFonts w:hint="eastAsia" w:hAnsi="宋体" w:cs="宋体"/>
          <w:sz w:val="24"/>
        </w:rPr>
        <w:t>项目（项目编号/项目序列号：</w:t>
      </w:r>
      <w:r>
        <w:rPr>
          <w:rFonts w:hint="eastAsia" w:hAnsi="宋体" w:cs="宋体"/>
          <w:sz w:val="24"/>
          <w:u w:val="single"/>
        </w:rPr>
        <w:t xml:space="preserve">    </w:t>
      </w:r>
      <w:r>
        <w:rPr>
          <w:rFonts w:hint="eastAsia" w:hAnsi="宋体" w:cs="宋体"/>
          <w:sz w:val="24"/>
        </w:rPr>
        <w:t>）</w:t>
      </w:r>
      <w:r>
        <w:rPr>
          <w:rFonts w:hint="eastAsia"/>
          <w:sz w:val="24"/>
        </w:rPr>
        <w:t>的投标报价为（大写）：</w:t>
      </w:r>
      <w:r>
        <w:rPr>
          <w:rFonts w:hint="eastAsia"/>
          <w:sz w:val="24"/>
          <w:lang w:val="en-US" w:eastAsia="zh-CN"/>
        </w:rPr>
        <w:t xml:space="preserve">   </w:t>
      </w:r>
      <w:r>
        <w:rPr>
          <w:rFonts w:hint="eastAsia"/>
          <w:sz w:val="24"/>
        </w:rPr>
        <w:t>元人民币，小写：</w:t>
      </w:r>
      <w:r>
        <w:rPr>
          <w:rFonts w:hint="eastAsia"/>
          <w:sz w:val="24"/>
          <w:lang w:val="en-US" w:eastAsia="zh-CN"/>
        </w:rPr>
        <w:t xml:space="preserve">    </w:t>
      </w:r>
      <w:r>
        <w:rPr>
          <w:rFonts w:hint="eastAsia"/>
          <w:sz w:val="24"/>
        </w:rPr>
        <w:t>元。</w:t>
      </w:r>
    </w:p>
    <w:p w14:paraId="4E1CFCC8">
      <w:pPr>
        <w:spacing w:before="158" w:beforeLines="50" w:after="158" w:afterLines="50" w:line="480" w:lineRule="auto"/>
        <w:ind w:left="477" w:leftChars="223" w:firstLine="7" w:firstLineChars="3"/>
        <w:rPr>
          <w:rFonts w:ascii="宋体" w:hAnsi="宋体" w:cs="宋体"/>
          <w:color w:val="auto"/>
          <w:sz w:val="24"/>
          <w:highlight w:val="none"/>
        </w:rPr>
      </w:pPr>
      <w:r>
        <w:rPr>
          <w:rFonts w:hint="eastAsia" w:ascii="宋体" w:hAnsi="宋体" w:cs="宋体"/>
          <w:color w:val="auto"/>
          <w:sz w:val="24"/>
          <w:highlight w:val="none"/>
        </w:rPr>
        <w:t>2.服务期：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14:paraId="0E66EEFA">
      <w:pPr>
        <w:spacing w:before="158" w:beforeLines="50" w:after="158" w:afterLines="50" w:line="480" w:lineRule="auto"/>
        <w:ind w:left="-10" w:leftChars="-5" w:firstLine="499" w:firstLineChars="205"/>
        <w:rPr>
          <w:rFonts w:ascii="宋体" w:hAnsi="宋体" w:cs="宋体"/>
          <w:color w:val="auto"/>
          <w:sz w:val="24"/>
          <w:highlight w:val="none"/>
        </w:rPr>
      </w:pPr>
      <w:r>
        <w:rPr>
          <w:rFonts w:hint="eastAsia" w:ascii="宋体" w:hAnsi="宋体" w:cs="宋体"/>
          <w:color w:val="auto"/>
          <w:sz w:val="24"/>
          <w:highlight w:val="none"/>
        </w:rPr>
        <w:t>3.服务地点：</w:t>
      </w:r>
      <w:r>
        <w:rPr>
          <w:rFonts w:hint="eastAsia" w:ascii="宋体" w:hAnsi="宋体" w:cs="宋体"/>
          <w:color w:val="auto"/>
          <w:sz w:val="24"/>
          <w:highlight w:val="none"/>
          <w:u w:val="single"/>
        </w:rPr>
        <w:t>采购人指定地点</w:t>
      </w:r>
      <w:r>
        <w:rPr>
          <w:rFonts w:hint="eastAsia" w:ascii="宋体" w:hAnsi="宋体" w:cs="宋体"/>
          <w:color w:val="auto"/>
          <w:sz w:val="24"/>
          <w:highlight w:val="none"/>
        </w:rPr>
        <w:t xml:space="preserve">  </w:t>
      </w:r>
    </w:p>
    <w:p w14:paraId="78B759F4">
      <w:pPr>
        <w:spacing w:before="158" w:beforeLines="50" w:after="158" w:afterLines="50" w:line="480" w:lineRule="auto"/>
        <w:ind w:left="-10" w:leftChars="-5" w:firstLine="499" w:firstLineChars="205"/>
        <w:rPr>
          <w:rFonts w:ascii="宋体" w:hAnsi="宋体" w:cs="宋体"/>
          <w:color w:val="auto"/>
          <w:sz w:val="24"/>
          <w:highlight w:val="none"/>
        </w:rPr>
      </w:pPr>
      <w:r>
        <w:rPr>
          <w:rFonts w:hint="eastAsia" w:ascii="宋体" w:hAnsi="宋体" w:cs="宋体"/>
          <w:color w:val="auto"/>
          <w:sz w:val="24"/>
          <w:highlight w:val="none"/>
        </w:rPr>
        <w:t>4.投标有效期：</w:t>
      </w:r>
      <w:r>
        <w:rPr>
          <w:rFonts w:hint="eastAsia" w:ascii="宋体" w:hAnsi="宋体" w:cs="宋体"/>
          <w:color w:val="auto"/>
          <w:sz w:val="24"/>
          <w:highlight w:val="none"/>
          <w:u w:val="single"/>
        </w:rPr>
        <w:t xml:space="preserve"> 60 </w:t>
      </w:r>
      <w:r>
        <w:rPr>
          <w:rFonts w:hint="eastAsia" w:ascii="宋体" w:hAnsi="宋体" w:cs="宋体"/>
          <w:color w:val="auto"/>
          <w:sz w:val="24"/>
          <w:highlight w:val="none"/>
        </w:rPr>
        <w:t>日历天，我方承诺在投标有效期内不修改、撤销投标文件。</w:t>
      </w:r>
    </w:p>
    <w:p w14:paraId="43AA2E48">
      <w:pPr>
        <w:spacing w:before="158" w:beforeLines="50" w:after="158" w:afterLines="50" w:line="480" w:lineRule="auto"/>
        <w:ind w:left="-10" w:leftChars="-5" w:firstLine="499" w:firstLineChars="205"/>
        <w:rPr>
          <w:rFonts w:ascii="宋体" w:hAnsi="宋体" w:cs="宋体"/>
          <w:color w:val="auto"/>
          <w:sz w:val="24"/>
          <w:highlight w:val="none"/>
        </w:rPr>
      </w:pPr>
      <w:r>
        <w:rPr>
          <w:rFonts w:hint="eastAsia" w:ascii="宋体" w:hAnsi="宋体" w:cs="宋体"/>
          <w:color w:val="auto"/>
          <w:sz w:val="24"/>
          <w:highlight w:val="none"/>
        </w:rPr>
        <w:t xml:space="preserve">5.验收标准：符合国家相关标准和行业相关标准；     </w:t>
      </w:r>
    </w:p>
    <w:p w14:paraId="0CE18DC4">
      <w:pPr>
        <w:spacing w:before="158" w:beforeLines="50" w:after="158" w:afterLines="50" w:line="480" w:lineRule="auto"/>
        <w:ind w:left="-10" w:leftChars="-5" w:firstLine="499" w:firstLineChars="205"/>
        <w:rPr>
          <w:rFonts w:ascii="宋体" w:hAnsi="宋体" w:cs="宋体"/>
          <w:color w:val="auto"/>
          <w:sz w:val="24"/>
          <w:highlight w:val="none"/>
          <w:u w:val="single"/>
        </w:rPr>
      </w:pPr>
      <w:r>
        <w:rPr>
          <w:rFonts w:hint="eastAsia" w:ascii="宋体" w:hAnsi="宋体" w:cs="宋体"/>
          <w:color w:val="auto"/>
          <w:sz w:val="24"/>
          <w:highlight w:val="none"/>
        </w:rPr>
        <w:t>6.其他：</w:t>
      </w:r>
      <w:r>
        <w:rPr>
          <w:rFonts w:hint="eastAsia" w:ascii="宋体" w:hAnsi="宋体" w:cs="宋体"/>
          <w:color w:val="auto"/>
          <w:sz w:val="24"/>
          <w:highlight w:val="none"/>
          <w:u w:val="single"/>
        </w:rPr>
        <w:t xml:space="preserve">            </w:t>
      </w:r>
    </w:p>
    <w:p w14:paraId="25F83307">
      <w:pPr>
        <w:pStyle w:val="2"/>
        <w:spacing w:line="480" w:lineRule="auto"/>
        <w:ind w:firstLine="489"/>
        <w:rPr>
          <w:rFonts w:ascii="宋体" w:hAnsi="宋体" w:eastAsia="宋体" w:cs="宋体"/>
          <w:b w:val="0"/>
          <w:bCs w:val="0"/>
          <w:color w:val="auto"/>
          <w:kern w:val="2"/>
          <w:sz w:val="24"/>
          <w:szCs w:val="24"/>
          <w:highlight w:val="none"/>
        </w:rPr>
      </w:pPr>
      <w:r>
        <w:rPr>
          <w:rFonts w:hint="eastAsia" w:ascii="宋体" w:hAnsi="宋体" w:eastAsia="宋体" w:cs="宋体"/>
          <w:b w:val="0"/>
          <w:bCs w:val="0"/>
          <w:color w:val="auto"/>
          <w:kern w:val="2"/>
          <w:sz w:val="24"/>
          <w:szCs w:val="24"/>
          <w:highlight w:val="none"/>
        </w:rPr>
        <w:t>7、相关承诺：</w:t>
      </w:r>
    </w:p>
    <w:p w14:paraId="26E215A0">
      <w:pPr>
        <w:spacing w:before="158" w:beforeLines="50" w:after="158" w:afterLines="50" w:line="480" w:lineRule="auto"/>
        <w:ind w:left="-10" w:leftChars="-5" w:firstLine="499" w:firstLineChars="205"/>
        <w:rPr>
          <w:rFonts w:ascii="宋体" w:hAnsi="宋体" w:cs="宋体"/>
          <w:color w:val="auto"/>
          <w:sz w:val="24"/>
          <w:highlight w:val="none"/>
        </w:rPr>
      </w:pPr>
      <w:r>
        <w:rPr>
          <w:rFonts w:hint="eastAsia" w:ascii="宋体" w:hAnsi="宋体" w:cs="宋体"/>
          <w:color w:val="auto"/>
          <w:sz w:val="24"/>
          <w:highlight w:val="none"/>
        </w:rPr>
        <w:t>（1）本投标报价在法律法规及采购文件规定的投标有效期内有效。</w:t>
      </w:r>
    </w:p>
    <w:p w14:paraId="09853484">
      <w:pPr>
        <w:spacing w:before="158" w:beforeLines="50" w:after="158" w:afterLines="50" w:line="480" w:lineRule="auto"/>
        <w:ind w:left="-10" w:leftChars="-5" w:firstLine="499" w:firstLineChars="205"/>
        <w:rPr>
          <w:rFonts w:ascii="宋体" w:hAnsi="宋体" w:cs="宋体"/>
          <w:color w:val="auto"/>
          <w:sz w:val="24"/>
          <w:highlight w:val="none"/>
        </w:rPr>
      </w:pPr>
      <w:r>
        <w:rPr>
          <w:rFonts w:hint="eastAsia" w:ascii="宋体" w:hAnsi="宋体" w:cs="宋体"/>
          <w:color w:val="auto"/>
          <w:sz w:val="24"/>
          <w:highlight w:val="none"/>
        </w:rPr>
        <w:t>（2）我方不是采购人的附属机构；在获知本项目采购信息后，与采购人聘请的为此项目提供咨询服务的公司及其附属机构没有任何联系。</w:t>
      </w:r>
    </w:p>
    <w:p w14:paraId="6CA57296">
      <w:pPr>
        <w:spacing w:before="158" w:beforeLines="50" w:after="158" w:afterLines="50" w:line="480" w:lineRule="auto"/>
        <w:ind w:left="-10" w:leftChars="-5" w:firstLine="499" w:firstLineChars="205"/>
        <w:rPr>
          <w:rFonts w:ascii="宋体" w:hAnsi="宋体" w:cs="宋体"/>
          <w:color w:val="auto"/>
          <w:sz w:val="24"/>
          <w:highlight w:val="none"/>
        </w:rPr>
      </w:pPr>
      <w:r>
        <w:rPr>
          <w:rFonts w:hint="eastAsia" w:ascii="宋体" w:hAnsi="宋体" w:cs="宋体"/>
          <w:color w:val="auto"/>
          <w:sz w:val="24"/>
          <w:highlight w:val="none"/>
        </w:rPr>
        <w:t>（3）我方已详细审查全部招标文件及有关的澄清/修改文件，完全理解和同意，并保证遵守采购文件有关条款规定。</w:t>
      </w:r>
    </w:p>
    <w:p w14:paraId="3FB42118">
      <w:pPr>
        <w:spacing w:before="158" w:beforeLines="50" w:after="158" w:afterLines="50" w:line="480" w:lineRule="auto"/>
        <w:ind w:left="-10" w:leftChars="-5" w:firstLine="499" w:firstLineChars="205"/>
        <w:rPr>
          <w:rFonts w:ascii="宋体" w:hAnsi="宋体" w:cs="宋体"/>
          <w:color w:val="auto"/>
          <w:sz w:val="24"/>
          <w:highlight w:val="none"/>
        </w:rPr>
      </w:pPr>
      <w:r>
        <w:rPr>
          <w:rFonts w:hint="eastAsia" w:ascii="宋体" w:hAnsi="宋体" w:cs="宋体"/>
          <w:color w:val="auto"/>
          <w:sz w:val="24"/>
          <w:highlight w:val="none"/>
        </w:rPr>
        <w:t>（4）我方保证在中标后忠实地执行与采购人所签署的合同，并承担合同规定的责任义务。保证在中标后按照招标文件的规定支付中标服务费。</w:t>
      </w:r>
    </w:p>
    <w:p w14:paraId="40C8336E">
      <w:pPr>
        <w:spacing w:before="158" w:beforeLines="50" w:after="158" w:afterLines="50" w:line="480" w:lineRule="auto"/>
        <w:ind w:left="-10" w:leftChars="-5" w:firstLine="499" w:firstLineChars="205"/>
        <w:rPr>
          <w:rFonts w:ascii="宋体" w:hAnsi="宋体" w:cs="宋体"/>
          <w:color w:val="auto"/>
          <w:sz w:val="24"/>
          <w:highlight w:val="none"/>
        </w:rPr>
      </w:pPr>
      <w:r>
        <w:rPr>
          <w:rFonts w:hint="eastAsia" w:ascii="宋体" w:hAnsi="宋体" w:cs="宋体"/>
          <w:color w:val="auto"/>
          <w:sz w:val="24"/>
          <w:highlight w:val="none"/>
        </w:rPr>
        <w:t>（5）承诺应贵方要求提供任何与该项目投标有关的数据、情况和技术资料。</w:t>
      </w:r>
    </w:p>
    <w:p w14:paraId="69BCBF64">
      <w:pPr>
        <w:pStyle w:val="8"/>
        <w:spacing w:line="480" w:lineRule="auto"/>
        <w:ind w:firstLine="488" w:firstLineChars="200"/>
        <w:jc w:val="left"/>
        <w:rPr>
          <w:rFonts w:ascii="宋体" w:hAnsi="宋体" w:cs="宋体"/>
          <w:color w:val="auto"/>
          <w:sz w:val="24"/>
          <w:highlight w:val="none"/>
        </w:rPr>
      </w:pPr>
      <w:r>
        <w:rPr>
          <w:rFonts w:hint="eastAsia" w:ascii="宋体" w:hAnsi="宋体" w:cs="宋体"/>
          <w:color w:val="auto"/>
          <w:sz w:val="24"/>
          <w:highlight w:val="none"/>
        </w:rPr>
        <w:t>（6）本投标文件提供的报价、资格、技术、商务等文件均真实、有效、准确。若有违背，我方愿意承担由此而产生的一切后果。</w:t>
      </w:r>
    </w:p>
    <w:p w14:paraId="3BCCE846">
      <w:pPr>
        <w:pStyle w:val="8"/>
        <w:spacing w:line="480" w:lineRule="auto"/>
        <w:ind w:firstLine="488" w:firstLineChars="200"/>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供应商名称（盖章）：</w:t>
      </w:r>
      <w:r>
        <w:rPr>
          <w:rFonts w:hint="eastAsia" w:asciiTheme="majorEastAsia" w:hAnsiTheme="majorEastAsia" w:eastAsiaTheme="majorEastAsia" w:cstheme="majorEastAsia"/>
          <w:color w:val="auto"/>
          <w:sz w:val="24"/>
          <w:highlight w:val="none"/>
        </w:rPr>
        <w:cr/>
      </w:r>
      <w:r>
        <w:rPr>
          <w:rFonts w:hint="eastAsia" w:asciiTheme="majorEastAsia" w:hAnsiTheme="majorEastAsia" w:eastAsiaTheme="majorEastAsia" w:cstheme="majorEastAsia"/>
          <w:color w:val="auto"/>
          <w:sz w:val="24"/>
          <w:highlight w:val="none"/>
        </w:rPr>
        <w:t xml:space="preserve">     法定代表人或授权代表：</w:t>
      </w:r>
    </w:p>
    <w:p w14:paraId="016011BF">
      <w:pPr>
        <w:pStyle w:val="8"/>
        <w:spacing w:line="480" w:lineRule="auto"/>
        <w:ind w:firstLine="488" w:firstLineChars="200"/>
        <w:jc w:val="left"/>
        <w:rPr>
          <w:rFonts w:asciiTheme="majorEastAsia" w:hAnsiTheme="majorEastAsia" w:eastAsiaTheme="majorEastAsia" w:cstheme="majorEastAsia"/>
          <w:color w:val="auto"/>
          <w:sz w:val="24"/>
          <w:highlight w:val="none"/>
          <w:u w:val="single"/>
        </w:rPr>
      </w:pPr>
      <w:r>
        <w:rPr>
          <w:rFonts w:hint="eastAsia" w:asciiTheme="majorEastAsia" w:hAnsiTheme="majorEastAsia" w:eastAsiaTheme="majorEastAsia" w:cstheme="majorEastAsia"/>
          <w:color w:val="auto"/>
          <w:sz w:val="24"/>
          <w:highlight w:val="none"/>
        </w:rPr>
        <w:t xml:space="preserve">                          地       址：</w:t>
      </w:r>
      <w:r>
        <w:rPr>
          <w:rFonts w:hint="eastAsia" w:asciiTheme="majorEastAsia" w:hAnsiTheme="majorEastAsia" w:eastAsiaTheme="majorEastAsia" w:cstheme="majorEastAsia"/>
          <w:color w:val="auto"/>
          <w:sz w:val="24"/>
          <w:highlight w:val="none"/>
        </w:rPr>
        <w:cr/>
      </w:r>
      <w:r>
        <w:rPr>
          <w:rFonts w:hint="eastAsia" w:asciiTheme="majorEastAsia" w:hAnsiTheme="majorEastAsia" w:eastAsiaTheme="majorEastAsia" w:cstheme="majorEastAsia"/>
          <w:color w:val="auto"/>
          <w:sz w:val="24"/>
          <w:highlight w:val="none"/>
        </w:rPr>
        <w:t xml:space="preserve">                              电       话：</w:t>
      </w:r>
    </w:p>
    <w:p w14:paraId="1BD24364">
      <w:pPr>
        <w:pStyle w:val="8"/>
        <w:spacing w:line="480" w:lineRule="auto"/>
        <w:ind w:firstLine="488" w:firstLineChars="200"/>
        <w:jc w:val="left"/>
        <w:rPr>
          <w:rFonts w:asciiTheme="majorEastAsia" w:hAnsiTheme="majorEastAsia" w:eastAsiaTheme="majorEastAsia" w:cstheme="majorEastAsia"/>
          <w:color w:val="auto"/>
          <w:sz w:val="24"/>
          <w:highlight w:val="none"/>
          <w:u w:val="single"/>
        </w:rPr>
      </w:pPr>
      <w:r>
        <w:rPr>
          <w:rFonts w:hint="eastAsia" w:asciiTheme="majorEastAsia" w:hAnsiTheme="majorEastAsia" w:eastAsiaTheme="majorEastAsia" w:cstheme="majorEastAsia"/>
          <w:color w:val="auto"/>
          <w:sz w:val="24"/>
          <w:highlight w:val="none"/>
        </w:rPr>
        <w:t xml:space="preserve">                          传       真：</w:t>
      </w:r>
    </w:p>
    <w:p w14:paraId="2E4F822D">
      <w:pPr>
        <w:pStyle w:val="8"/>
        <w:spacing w:line="360" w:lineRule="auto"/>
        <w:ind w:firstLine="488" w:firstLineChars="200"/>
        <w:jc w:val="left"/>
        <w:rPr>
          <w:rFonts w:asciiTheme="majorEastAsia" w:hAnsiTheme="majorEastAsia" w:eastAsiaTheme="majorEastAsia" w:cstheme="majorEastAsia"/>
          <w:color w:val="auto"/>
          <w:sz w:val="24"/>
          <w:highlight w:val="none"/>
          <w:u w:val="single"/>
        </w:rPr>
      </w:pPr>
      <w:r>
        <w:rPr>
          <w:rFonts w:hint="eastAsia" w:asciiTheme="majorEastAsia" w:hAnsiTheme="majorEastAsia" w:eastAsiaTheme="majorEastAsia" w:cstheme="majorEastAsia"/>
          <w:color w:val="auto"/>
          <w:sz w:val="24"/>
          <w:highlight w:val="none"/>
        </w:rPr>
        <w:t xml:space="preserve">                          邮       编： </w:t>
      </w:r>
      <w:r>
        <w:rPr>
          <w:rFonts w:hint="eastAsia" w:asciiTheme="majorEastAsia" w:hAnsiTheme="majorEastAsia" w:eastAsiaTheme="majorEastAsia" w:cstheme="majorEastAsia"/>
          <w:color w:val="auto"/>
          <w:sz w:val="24"/>
          <w:highlight w:val="none"/>
        </w:rPr>
        <w:cr/>
      </w:r>
      <w:r>
        <w:rPr>
          <w:rFonts w:hint="eastAsia" w:asciiTheme="majorEastAsia" w:hAnsiTheme="majorEastAsia" w:eastAsiaTheme="majorEastAsia" w:cstheme="majorEastAsia"/>
          <w:color w:val="auto"/>
          <w:sz w:val="24"/>
          <w:highlight w:val="none"/>
        </w:rPr>
        <w:t xml:space="preserve">                              日       期：</w:t>
      </w:r>
    </w:p>
    <w:p w14:paraId="4C7A0927">
      <w:pPr>
        <w:pStyle w:val="8"/>
        <w:spacing w:line="360" w:lineRule="auto"/>
        <w:jc w:val="left"/>
        <w:rPr>
          <w:rFonts w:asciiTheme="majorEastAsia" w:hAnsiTheme="majorEastAsia" w:eastAsiaTheme="majorEastAsia" w:cstheme="majorEastAsia"/>
          <w:color w:val="auto"/>
          <w:sz w:val="24"/>
          <w:highlight w:val="none"/>
          <w:u w:val="single"/>
        </w:rPr>
      </w:pPr>
    </w:p>
    <w:p w14:paraId="12D20C06">
      <w:pPr>
        <w:pStyle w:val="8"/>
        <w:spacing w:line="360" w:lineRule="auto"/>
        <w:jc w:val="left"/>
        <w:rPr>
          <w:rFonts w:asciiTheme="majorEastAsia" w:hAnsiTheme="majorEastAsia" w:eastAsiaTheme="majorEastAsia" w:cstheme="majorEastAsia"/>
          <w:color w:val="auto"/>
          <w:sz w:val="24"/>
          <w:highlight w:val="none"/>
          <w:u w:val="single"/>
        </w:rPr>
      </w:pPr>
    </w:p>
    <w:p w14:paraId="035297B3">
      <w:pPr>
        <w:pStyle w:val="8"/>
        <w:spacing w:line="360" w:lineRule="auto"/>
        <w:jc w:val="left"/>
        <w:rPr>
          <w:rFonts w:asciiTheme="majorEastAsia" w:hAnsiTheme="majorEastAsia" w:eastAsiaTheme="majorEastAsia" w:cstheme="majorEastAsia"/>
          <w:color w:val="auto"/>
          <w:sz w:val="24"/>
          <w:highlight w:val="none"/>
          <w:u w:val="single"/>
        </w:rPr>
      </w:pPr>
    </w:p>
    <w:p w14:paraId="2FC5B609">
      <w:pPr>
        <w:pStyle w:val="8"/>
        <w:spacing w:line="360" w:lineRule="auto"/>
        <w:jc w:val="left"/>
        <w:rPr>
          <w:rFonts w:asciiTheme="majorEastAsia" w:hAnsiTheme="majorEastAsia" w:eastAsiaTheme="majorEastAsia" w:cstheme="majorEastAsia"/>
          <w:color w:val="auto"/>
          <w:sz w:val="24"/>
          <w:highlight w:val="none"/>
          <w:u w:val="single"/>
        </w:rPr>
      </w:pPr>
    </w:p>
    <w:p w14:paraId="75C30913">
      <w:pPr>
        <w:pStyle w:val="8"/>
        <w:spacing w:line="360" w:lineRule="auto"/>
        <w:jc w:val="left"/>
        <w:rPr>
          <w:rFonts w:asciiTheme="majorEastAsia" w:hAnsiTheme="majorEastAsia" w:eastAsiaTheme="majorEastAsia" w:cstheme="majorEastAsia"/>
          <w:color w:val="auto"/>
          <w:sz w:val="24"/>
          <w:highlight w:val="none"/>
          <w:u w:val="single"/>
        </w:rPr>
      </w:pPr>
    </w:p>
    <w:p w14:paraId="2F70941C">
      <w:pPr>
        <w:pStyle w:val="8"/>
        <w:spacing w:line="360" w:lineRule="auto"/>
        <w:jc w:val="left"/>
        <w:rPr>
          <w:rFonts w:asciiTheme="majorEastAsia" w:hAnsiTheme="majorEastAsia" w:eastAsiaTheme="majorEastAsia" w:cstheme="majorEastAsia"/>
          <w:color w:val="auto"/>
          <w:sz w:val="24"/>
          <w:highlight w:val="none"/>
          <w:u w:val="single"/>
        </w:rPr>
      </w:pPr>
    </w:p>
    <w:p w14:paraId="39F42B04">
      <w:pPr>
        <w:pStyle w:val="8"/>
        <w:spacing w:line="360" w:lineRule="auto"/>
        <w:jc w:val="left"/>
        <w:rPr>
          <w:rFonts w:asciiTheme="majorEastAsia" w:hAnsiTheme="majorEastAsia" w:eastAsiaTheme="majorEastAsia" w:cstheme="majorEastAsia"/>
          <w:color w:val="auto"/>
          <w:sz w:val="24"/>
          <w:highlight w:val="none"/>
          <w:u w:val="single"/>
        </w:rPr>
      </w:pPr>
    </w:p>
    <w:p w14:paraId="3102C8D6">
      <w:pPr>
        <w:pStyle w:val="8"/>
        <w:spacing w:line="360" w:lineRule="auto"/>
        <w:jc w:val="left"/>
        <w:rPr>
          <w:rFonts w:asciiTheme="majorEastAsia" w:hAnsiTheme="majorEastAsia" w:eastAsiaTheme="majorEastAsia" w:cstheme="majorEastAsia"/>
          <w:color w:val="auto"/>
          <w:sz w:val="24"/>
          <w:highlight w:val="none"/>
          <w:u w:val="single"/>
        </w:rPr>
      </w:pPr>
    </w:p>
    <w:p w14:paraId="17382C1F">
      <w:pPr>
        <w:pStyle w:val="8"/>
        <w:spacing w:line="360" w:lineRule="auto"/>
        <w:jc w:val="left"/>
        <w:rPr>
          <w:rFonts w:asciiTheme="majorEastAsia" w:hAnsiTheme="majorEastAsia" w:eastAsiaTheme="majorEastAsia" w:cstheme="majorEastAsia"/>
          <w:color w:val="auto"/>
          <w:sz w:val="24"/>
          <w:highlight w:val="none"/>
          <w:u w:val="single"/>
        </w:rPr>
      </w:pPr>
    </w:p>
    <w:p w14:paraId="6EF1F3B5">
      <w:pPr>
        <w:pStyle w:val="8"/>
        <w:spacing w:line="360" w:lineRule="auto"/>
        <w:jc w:val="left"/>
        <w:rPr>
          <w:rFonts w:asciiTheme="majorEastAsia" w:hAnsiTheme="majorEastAsia" w:eastAsiaTheme="majorEastAsia" w:cstheme="majorEastAsia"/>
          <w:color w:val="auto"/>
          <w:sz w:val="24"/>
          <w:highlight w:val="none"/>
          <w:u w:val="single"/>
        </w:rPr>
      </w:pPr>
    </w:p>
    <w:p w14:paraId="4904FE9D">
      <w:pPr>
        <w:pStyle w:val="8"/>
        <w:spacing w:line="360" w:lineRule="auto"/>
        <w:jc w:val="left"/>
        <w:rPr>
          <w:rFonts w:asciiTheme="majorEastAsia" w:hAnsiTheme="majorEastAsia" w:eastAsiaTheme="majorEastAsia" w:cstheme="majorEastAsia"/>
          <w:color w:val="auto"/>
          <w:sz w:val="24"/>
          <w:highlight w:val="none"/>
          <w:u w:val="single"/>
        </w:rPr>
      </w:pPr>
    </w:p>
    <w:p w14:paraId="52A1D201">
      <w:pPr>
        <w:pStyle w:val="8"/>
        <w:spacing w:line="360" w:lineRule="auto"/>
        <w:jc w:val="left"/>
        <w:rPr>
          <w:rFonts w:asciiTheme="majorEastAsia" w:hAnsiTheme="majorEastAsia" w:eastAsiaTheme="majorEastAsia" w:cstheme="majorEastAsia"/>
          <w:color w:val="auto"/>
          <w:sz w:val="24"/>
          <w:highlight w:val="none"/>
          <w:u w:val="single"/>
        </w:rPr>
      </w:pPr>
    </w:p>
    <w:p w14:paraId="4878F9E2">
      <w:pPr>
        <w:pStyle w:val="8"/>
        <w:spacing w:line="360" w:lineRule="auto"/>
        <w:jc w:val="left"/>
        <w:rPr>
          <w:rFonts w:asciiTheme="majorEastAsia" w:hAnsiTheme="majorEastAsia" w:eastAsiaTheme="majorEastAsia" w:cstheme="majorEastAsia"/>
          <w:color w:val="auto"/>
          <w:sz w:val="24"/>
          <w:highlight w:val="none"/>
          <w:u w:val="single"/>
        </w:rPr>
      </w:pPr>
    </w:p>
    <w:p w14:paraId="68BE3444">
      <w:pPr>
        <w:pStyle w:val="8"/>
        <w:spacing w:line="360" w:lineRule="auto"/>
        <w:jc w:val="left"/>
        <w:rPr>
          <w:rFonts w:asciiTheme="majorEastAsia" w:hAnsiTheme="majorEastAsia" w:eastAsiaTheme="majorEastAsia" w:cstheme="majorEastAsia"/>
          <w:color w:val="auto"/>
          <w:sz w:val="24"/>
          <w:highlight w:val="none"/>
          <w:u w:val="single"/>
        </w:rPr>
      </w:pPr>
    </w:p>
    <w:p w14:paraId="475B3AAF">
      <w:pPr>
        <w:pStyle w:val="8"/>
        <w:spacing w:line="360" w:lineRule="auto"/>
        <w:ind w:firstLine="648" w:firstLineChars="200"/>
        <w:jc w:val="center"/>
        <w:rPr>
          <w:rFonts w:asciiTheme="majorEastAsia" w:hAnsiTheme="majorEastAsia" w:eastAsiaTheme="majorEastAsia" w:cstheme="majorEastAsia"/>
          <w:color w:val="auto"/>
          <w:sz w:val="32"/>
          <w:highlight w:val="none"/>
        </w:rPr>
      </w:pPr>
      <w:r>
        <w:rPr>
          <w:rFonts w:hint="eastAsia" w:asciiTheme="majorEastAsia" w:hAnsiTheme="majorEastAsia" w:eastAsiaTheme="majorEastAsia" w:cstheme="majorEastAsia"/>
          <w:color w:val="auto"/>
          <w:sz w:val="32"/>
          <w:highlight w:val="none"/>
        </w:rPr>
        <w:t>二、开标一览表</w:t>
      </w:r>
    </w:p>
    <w:tbl>
      <w:tblPr>
        <w:tblStyle w:val="21"/>
        <w:tblW w:w="9430"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809"/>
        <w:gridCol w:w="3119"/>
        <w:gridCol w:w="4502"/>
      </w:tblGrid>
      <w:tr w14:paraId="38F1BC5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809" w:type="dxa"/>
            <w:vAlign w:val="center"/>
          </w:tcPr>
          <w:p w14:paraId="4EA3AB0E">
            <w:pPr>
              <w:pStyle w:val="8"/>
              <w:spacing w:line="360" w:lineRule="auto"/>
              <w:ind w:firstLine="480"/>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序号</w:t>
            </w:r>
          </w:p>
        </w:tc>
        <w:tc>
          <w:tcPr>
            <w:tcW w:w="3119" w:type="dxa"/>
            <w:vAlign w:val="center"/>
          </w:tcPr>
          <w:p w14:paraId="259532E4">
            <w:pPr>
              <w:pStyle w:val="8"/>
              <w:spacing w:line="360" w:lineRule="auto"/>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唱标名称</w:t>
            </w:r>
          </w:p>
        </w:tc>
        <w:tc>
          <w:tcPr>
            <w:tcW w:w="4502" w:type="dxa"/>
            <w:vAlign w:val="center"/>
          </w:tcPr>
          <w:p w14:paraId="14F65BE2">
            <w:pPr>
              <w:pStyle w:val="8"/>
              <w:spacing w:line="360" w:lineRule="auto"/>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唱标内容</w:t>
            </w:r>
          </w:p>
        </w:tc>
      </w:tr>
      <w:tr w14:paraId="45670E6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809" w:type="dxa"/>
            <w:vAlign w:val="center"/>
          </w:tcPr>
          <w:p w14:paraId="52031B0A">
            <w:pPr>
              <w:pStyle w:val="8"/>
              <w:spacing w:line="360" w:lineRule="auto"/>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w:t>
            </w:r>
          </w:p>
        </w:tc>
        <w:tc>
          <w:tcPr>
            <w:tcW w:w="3119" w:type="dxa"/>
            <w:vAlign w:val="center"/>
          </w:tcPr>
          <w:p w14:paraId="68B82933">
            <w:pPr>
              <w:pStyle w:val="8"/>
              <w:spacing w:line="360" w:lineRule="auto"/>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投标单位名称</w:t>
            </w:r>
          </w:p>
        </w:tc>
        <w:tc>
          <w:tcPr>
            <w:tcW w:w="4502" w:type="dxa"/>
            <w:vAlign w:val="center"/>
          </w:tcPr>
          <w:p w14:paraId="5DDE0A06">
            <w:pPr>
              <w:pStyle w:val="8"/>
              <w:spacing w:line="360" w:lineRule="auto"/>
              <w:jc w:val="center"/>
              <w:rPr>
                <w:rFonts w:asciiTheme="majorEastAsia" w:hAnsiTheme="majorEastAsia" w:eastAsiaTheme="majorEastAsia" w:cstheme="majorEastAsia"/>
                <w:color w:val="auto"/>
                <w:sz w:val="24"/>
                <w:highlight w:val="none"/>
              </w:rPr>
            </w:pPr>
          </w:p>
        </w:tc>
      </w:tr>
      <w:tr w14:paraId="304B976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809" w:type="dxa"/>
            <w:vAlign w:val="center"/>
          </w:tcPr>
          <w:p w14:paraId="76F25C6C">
            <w:pPr>
              <w:pStyle w:val="8"/>
              <w:spacing w:line="360" w:lineRule="auto"/>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w:t>
            </w:r>
          </w:p>
        </w:tc>
        <w:tc>
          <w:tcPr>
            <w:tcW w:w="3119" w:type="dxa"/>
            <w:vAlign w:val="center"/>
          </w:tcPr>
          <w:p w14:paraId="4071E926">
            <w:pPr>
              <w:pStyle w:val="8"/>
              <w:spacing w:line="360" w:lineRule="auto"/>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投标报价（元）</w:t>
            </w:r>
          </w:p>
        </w:tc>
        <w:tc>
          <w:tcPr>
            <w:tcW w:w="4502" w:type="dxa"/>
            <w:vAlign w:val="center"/>
          </w:tcPr>
          <w:p w14:paraId="282F143E">
            <w:pPr>
              <w:pStyle w:val="8"/>
              <w:spacing w:line="360" w:lineRule="auto"/>
              <w:jc w:val="center"/>
              <w:rPr>
                <w:rFonts w:asciiTheme="majorEastAsia" w:hAnsiTheme="majorEastAsia" w:eastAsiaTheme="majorEastAsia" w:cstheme="majorEastAsia"/>
                <w:color w:val="auto"/>
                <w:sz w:val="24"/>
                <w:highlight w:val="none"/>
              </w:rPr>
            </w:pPr>
          </w:p>
        </w:tc>
      </w:tr>
      <w:tr w14:paraId="27E67B1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809" w:type="dxa"/>
            <w:vAlign w:val="center"/>
          </w:tcPr>
          <w:p w14:paraId="56B26048">
            <w:pPr>
              <w:pStyle w:val="8"/>
              <w:spacing w:line="360" w:lineRule="auto"/>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3</w:t>
            </w:r>
          </w:p>
        </w:tc>
        <w:tc>
          <w:tcPr>
            <w:tcW w:w="3119" w:type="dxa"/>
            <w:vAlign w:val="center"/>
          </w:tcPr>
          <w:p w14:paraId="4C214382">
            <w:pPr>
              <w:pStyle w:val="8"/>
              <w:spacing w:line="360" w:lineRule="auto"/>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服务期（日历天）</w:t>
            </w:r>
          </w:p>
        </w:tc>
        <w:tc>
          <w:tcPr>
            <w:tcW w:w="4502" w:type="dxa"/>
            <w:vAlign w:val="center"/>
          </w:tcPr>
          <w:p w14:paraId="09BE3F5B">
            <w:pPr>
              <w:pStyle w:val="8"/>
              <w:spacing w:line="360" w:lineRule="auto"/>
              <w:jc w:val="center"/>
              <w:rPr>
                <w:rFonts w:asciiTheme="majorEastAsia" w:hAnsiTheme="majorEastAsia" w:eastAsiaTheme="majorEastAsia" w:cstheme="majorEastAsia"/>
                <w:color w:val="auto"/>
                <w:sz w:val="24"/>
                <w:highlight w:val="none"/>
              </w:rPr>
            </w:pPr>
          </w:p>
        </w:tc>
      </w:tr>
      <w:tr w14:paraId="743FA15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809" w:type="dxa"/>
            <w:vAlign w:val="center"/>
          </w:tcPr>
          <w:p w14:paraId="22504BD4">
            <w:pPr>
              <w:pStyle w:val="8"/>
              <w:spacing w:line="360" w:lineRule="auto"/>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4</w:t>
            </w:r>
          </w:p>
        </w:tc>
        <w:tc>
          <w:tcPr>
            <w:tcW w:w="3119" w:type="dxa"/>
            <w:vAlign w:val="center"/>
          </w:tcPr>
          <w:p w14:paraId="502BBB61">
            <w:pPr>
              <w:pStyle w:val="8"/>
              <w:spacing w:line="360" w:lineRule="auto"/>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服务地点</w:t>
            </w:r>
          </w:p>
        </w:tc>
        <w:tc>
          <w:tcPr>
            <w:tcW w:w="4502" w:type="dxa"/>
            <w:vAlign w:val="center"/>
          </w:tcPr>
          <w:p w14:paraId="6839D875">
            <w:pPr>
              <w:pStyle w:val="8"/>
              <w:spacing w:line="360" w:lineRule="auto"/>
              <w:jc w:val="center"/>
              <w:rPr>
                <w:rFonts w:asciiTheme="majorEastAsia" w:hAnsiTheme="majorEastAsia" w:eastAsiaTheme="majorEastAsia" w:cstheme="majorEastAsia"/>
                <w:color w:val="auto"/>
                <w:sz w:val="24"/>
                <w:highlight w:val="none"/>
              </w:rPr>
            </w:pPr>
          </w:p>
        </w:tc>
      </w:tr>
      <w:tr w14:paraId="39B2012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809" w:type="dxa"/>
            <w:vAlign w:val="center"/>
          </w:tcPr>
          <w:p w14:paraId="7A28C75B">
            <w:pPr>
              <w:pStyle w:val="8"/>
              <w:spacing w:line="360" w:lineRule="auto"/>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5</w:t>
            </w:r>
          </w:p>
        </w:tc>
        <w:tc>
          <w:tcPr>
            <w:tcW w:w="3119" w:type="dxa"/>
            <w:vAlign w:val="center"/>
          </w:tcPr>
          <w:p w14:paraId="09B0E237">
            <w:pPr>
              <w:pStyle w:val="8"/>
              <w:spacing w:line="360" w:lineRule="auto"/>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备注</w:t>
            </w:r>
          </w:p>
        </w:tc>
        <w:tc>
          <w:tcPr>
            <w:tcW w:w="4502" w:type="dxa"/>
            <w:vAlign w:val="center"/>
          </w:tcPr>
          <w:p w14:paraId="6A71A0DE">
            <w:pPr>
              <w:pStyle w:val="8"/>
              <w:spacing w:line="360" w:lineRule="auto"/>
              <w:jc w:val="center"/>
              <w:rPr>
                <w:rFonts w:asciiTheme="majorEastAsia" w:hAnsiTheme="majorEastAsia" w:eastAsiaTheme="majorEastAsia" w:cstheme="majorEastAsia"/>
                <w:color w:val="auto"/>
                <w:sz w:val="24"/>
                <w:highlight w:val="none"/>
              </w:rPr>
            </w:pPr>
          </w:p>
        </w:tc>
      </w:tr>
    </w:tbl>
    <w:p w14:paraId="631509B3">
      <w:pPr>
        <w:pStyle w:val="8"/>
        <w:spacing w:line="360" w:lineRule="auto"/>
        <w:ind w:firstLine="648" w:firstLineChars="200"/>
        <w:jc w:val="center"/>
        <w:rPr>
          <w:rFonts w:asciiTheme="majorEastAsia" w:hAnsiTheme="majorEastAsia" w:eastAsiaTheme="majorEastAsia" w:cstheme="majorEastAsia"/>
          <w:color w:val="auto"/>
          <w:sz w:val="32"/>
          <w:highlight w:val="none"/>
        </w:rPr>
      </w:pPr>
    </w:p>
    <w:p w14:paraId="277CE2E6">
      <w:pPr>
        <w:pStyle w:val="8"/>
        <w:spacing w:line="360" w:lineRule="auto"/>
        <w:ind w:firstLine="408" w:firstLineChars="200"/>
        <w:jc w:val="left"/>
        <w:rPr>
          <w:rFonts w:asciiTheme="majorEastAsia" w:hAnsiTheme="majorEastAsia" w:eastAsiaTheme="majorEastAsia" w:cstheme="majorEastAsia"/>
          <w:color w:val="auto"/>
          <w:kern w:val="0"/>
          <w:sz w:val="20"/>
          <w:szCs w:val="20"/>
          <w:highlight w:val="none"/>
        </w:rPr>
      </w:pPr>
      <w:r>
        <w:rPr>
          <w:rFonts w:hint="eastAsia" w:asciiTheme="majorEastAsia" w:hAnsiTheme="majorEastAsia" w:eastAsiaTheme="majorEastAsia" w:cstheme="majorEastAsia"/>
          <w:color w:val="auto"/>
          <w:kern w:val="0"/>
          <w:sz w:val="20"/>
          <w:szCs w:val="20"/>
          <w:highlight w:val="none"/>
        </w:rPr>
        <w:t>供应商名称（盖章）：________</w:t>
      </w:r>
    </w:p>
    <w:p w14:paraId="01BA76D1">
      <w:pPr>
        <w:pStyle w:val="8"/>
        <w:spacing w:line="360" w:lineRule="auto"/>
        <w:ind w:firstLine="408" w:firstLineChars="200"/>
        <w:jc w:val="left"/>
        <w:rPr>
          <w:rFonts w:asciiTheme="majorEastAsia" w:hAnsiTheme="majorEastAsia" w:eastAsiaTheme="majorEastAsia" w:cstheme="majorEastAsia"/>
          <w:color w:val="auto"/>
          <w:kern w:val="0"/>
          <w:sz w:val="20"/>
          <w:szCs w:val="20"/>
          <w:highlight w:val="none"/>
        </w:rPr>
      </w:pPr>
    </w:p>
    <w:p w14:paraId="74D6FA91">
      <w:pPr>
        <w:pStyle w:val="8"/>
        <w:spacing w:line="360" w:lineRule="auto"/>
        <w:ind w:firstLine="408" w:firstLineChars="200"/>
        <w:jc w:val="left"/>
        <w:rPr>
          <w:rFonts w:asciiTheme="majorEastAsia" w:hAnsiTheme="majorEastAsia" w:eastAsiaTheme="majorEastAsia" w:cstheme="majorEastAsia"/>
          <w:color w:val="auto"/>
          <w:kern w:val="0"/>
          <w:sz w:val="20"/>
          <w:szCs w:val="20"/>
          <w:highlight w:val="none"/>
        </w:rPr>
      </w:pPr>
    </w:p>
    <w:p w14:paraId="21532E62">
      <w:pPr>
        <w:pStyle w:val="8"/>
        <w:spacing w:line="360" w:lineRule="auto"/>
        <w:ind w:firstLine="408" w:firstLineChars="200"/>
        <w:jc w:val="left"/>
        <w:rPr>
          <w:rFonts w:asciiTheme="majorEastAsia" w:hAnsiTheme="majorEastAsia" w:eastAsiaTheme="majorEastAsia" w:cstheme="majorEastAsia"/>
          <w:color w:val="auto"/>
          <w:kern w:val="0"/>
          <w:sz w:val="20"/>
          <w:szCs w:val="20"/>
          <w:highlight w:val="none"/>
        </w:rPr>
      </w:pPr>
    </w:p>
    <w:p w14:paraId="02B40B15">
      <w:pPr>
        <w:pStyle w:val="8"/>
        <w:spacing w:line="360" w:lineRule="auto"/>
        <w:ind w:firstLine="408" w:firstLineChars="200"/>
        <w:jc w:val="left"/>
        <w:rPr>
          <w:rFonts w:asciiTheme="majorEastAsia" w:hAnsiTheme="majorEastAsia" w:eastAsiaTheme="majorEastAsia" w:cstheme="majorEastAsia"/>
          <w:color w:val="auto"/>
          <w:kern w:val="0"/>
          <w:sz w:val="20"/>
          <w:szCs w:val="20"/>
          <w:highlight w:val="none"/>
        </w:rPr>
      </w:pPr>
    </w:p>
    <w:p w14:paraId="087416DB">
      <w:pPr>
        <w:pStyle w:val="8"/>
        <w:spacing w:line="360" w:lineRule="auto"/>
        <w:ind w:firstLine="408" w:firstLineChars="200"/>
        <w:jc w:val="left"/>
        <w:rPr>
          <w:rFonts w:asciiTheme="majorEastAsia" w:hAnsiTheme="majorEastAsia" w:eastAsiaTheme="majorEastAsia" w:cstheme="majorEastAsia"/>
          <w:color w:val="auto"/>
          <w:kern w:val="0"/>
          <w:sz w:val="20"/>
          <w:szCs w:val="20"/>
          <w:highlight w:val="none"/>
        </w:rPr>
      </w:pPr>
    </w:p>
    <w:p w14:paraId="0D71BC61">
      <w:pPr>
        <w:pStyle w:val="8"/>
        <w:spacing w:line="360" w:lineRule="auto"/>
        <w:ind w:firstLine="408" w:firstLineChars="200"/>
        <w:jc w:val="left"/>
        <w:rPr>
          <w:rFonts w:asciiTheme="majorEastAsia" w:hAnsiTheme="majorEastAsia" w:eastAsiaTheme="majorEastAsia" w:cstheme="majorEastAsia"/>
          <w:color w:val="auto"/>
          <w:kern w:val="0"/>
          <w:sz w:val="20"/>
          <w:szCs w:val="20"/>
          <w:highlight w:val="none"/>
        </w:rPr>
      </w:pPr>
    </w:p>
    <w:p w14:paraId="4572C905">
      <w:pPr>
        <w:pStyle w:val="8"/>
        <w:spacing w:line="360" w:lineRule="auto"/>
        <w:ind w:firstLine="408" w:firstLineChars="200"/>
        <w:jc w:val="left"/>
        <w:rPr>
          <w:rFonts w:asciiTheme="majorEastAsia" w:hAnsiTheme="majorEastAsia" w:eastAsiaTheme="majorEastAsia" w:cstheme="majorEastAsia"/>
          <w:color w:val="auto"/>
          <w:kern w:val="0"/>
          <w:sz w:val="20"/>
          <w:szCs w:val="20"/>
          <w:highlight w:val="none"/>
        </w:rPr>
      </w:pPr>
    </w:p>
    <w:p w14:paraId="3B3CB59D">
      <w:pPr>
        <w:pStyle w:val="8"/>
        <w:spacing w:line="360" w:lineRule="auto"/>
        <w:ind w:firstLine="408" w:firstLineChars="200"/>
        <w:jc w:val="left"/>
        <w:rPr>
          <w:rFonts w:asciiTheme="majorEastAsia" w:hAnsiTheme="majorEastAsia" w:eastAsiaTheme="majorEastAsia" w:cstheme="majorEastAsia"/>
          <w:color w:val="auto"/>
          <w:kern w:val="0"/>
          <w:sz w:val="20"/>
          <w:szCs w:val="20"/>
          <w:highlight w:val="none"/>
        </w:rPr>
      </w:pPr>
    </w:p>
    <w:p w14:paraId="35F8DC33">
      <w:pPr>
        <w:pStyle w:val="8"/>
        <w:spacing w:line="360" w:lineRule="auto"/>
        <w:ind w:firstLine="408" w:firstLineChars="200"/>
        <w:jc w:val="left"/>
        <w:rPr>
          <w:rFonts w:asciiTheme="majorEastAsia" w:hAnsiTheme="majorEastAsia" w:eastAsiaTheme="majorEastAsia" w:cstheme="majorEastAsia"/>
          <w:color w:val="auto"/>
          <w:kern w:val="0"/>
          <w:sz w:val="20"/>
          <w:szCs w:val="20"/>
          <w:highlight w:val="none"/>
        </w:rPr>
      </w:pPr>
    </w:p>
    <w:p w14:paraId="578FD6DC">
      <w:pPr>
        <w:pStyle w:val="8"/>
        <w:spacing w:line="360" w:lineRule="auto"/>
        <w:ind w:firstLine="408" w:firstLineChars="200"/>
        <w:jc w:val="left"/>
        <w:rPr>
          <w:rFonts w:asciiTheme="majorEastAsia" w:hAnsiTheme="majorEastAsia" w:eastAsiaTheme="majorEastAsia" w:cstheme="majorEastAsia"/>
          <w:color w:val="auto"/>
          <w:kern w:val="0"/>
          <w:sz w:val="20"/>
          <w:szCs w:val="20"/>
          <w:highlight w:val="none"/>
        </w:rPr>
      </w:pPr>
    </w:p>
    <w:p w14:paraId="4BCB6E89">
      <w:pPr>
        <w:pStyle w:val="8"/>
        <w:spacing w:line="360" w:lineRule="auto"/>
        <w:ind w:firstLine="408" w:firstLineChars="200"/>
        <w:jc w:val="left"/>
        <w:rPr>
          <w:rFonts w:asciiTheme="majorEastAsia" w:hAnsiTheme="majorEastAsia" w:eastAsiaTheme="majorEastAsia" w:cstheme="majorEastAsia"/>
          <w:color w:val="auto"/>
          <w:kern w:val="0"/>
          <w:sz w:val="20"/>
          <w:szCs w:val="20"/>
          <w:highlight w:val="none"/>
        </w:rPr>
      </w:pPr>
    </w:p>
    <w:p w14:paraId="274D21A8">
      <w:pPr>
        <w:pStyle w:val="8"/>
        <w:spacing w:line="360" w:lineRule="auto"/>
        <w:ind w:firstLine="408" w:firstLineChars="200"/>
        <w:jc w:val="left"/>
        <w:rPr>
          <w:rFonts w:asciiTheme="majorEastAsia" w:hAnsiTheme="majorEastAsia" w:eastAsiaTheme="majorEastAsia" w:cstheme="majorEastAsia"/>
          <w:color w:val="auto"/>
          <w:kern w:val="0"/>
          <w:sz w:val="20"/>
          <w:szCs w:val="20"/>
          <w:highlight w:val="none"/>
        </w:rPr>
      </w:pPr>
    </w:p>
    <w:p w14:paraId="22F7C05D">
      <w:pPr>
        <w:pStyle w:val="8"/>
        <w:spacing w:line="360" w:lineRule="auto"/>
        <w:ind w:firstLine="408" w:firstLineChars="200"/>
        <w:jc w:val="left"/>
        <w:rPr>
          <w:rFonts w:asciiTheme="majorEastAsia" w:hAnsiTheme="majorEastAsia" w:eastAsiaTheme="majorEastAsia" w:cstheme="majorEastAsia"/>
          <w:color w:val="auto"/>
          <w:kern w:val="0"/>
          <w:sz w:val="20"/>
          <w:szCs w:val="20"/>
          <w:highlight w:val="none"/>
        </w:rPr>
      </w:pPr>
    </w:p>
    <w:p w14:paraId="562B5EEF">
      <w:pPr>
        <w:pStyle w:val="8"/>
        <w:spacing w:line="360" w:lineRule="auto"/>
        <w:ind w:firstLine="616" w:firstLineChars="200"/>
        <w:jc w:val="center"/>
        <w:rPr>
          <w:rFonts w:hint="eastAsia" w:asciiTheme="majorEastAsia" w:hAnsiTheme="majorEastAsia" w:eastAsiaTheme="majorEastAsia" w:cstheme="majorEastAsia"/>
          <w:color w:val="auto"/>
          <w:spacing w:val="7"/>
          <w:sz w:val="29"/>
          <w:szCs w:val="29"/>
          <w:highlight w:val="none"/>
          <w:lang w:eastAsia="zh-CN"/>
          <w14:textOutline w14:w="5435" w14:cap="flat" w14:cmpd="sng" w14:algn="ctr">
            <w14:solidFill>
              <w14:srgbClr w14:val="000000"/>
            </w14:solidFill>
            <w14:prstDash w14:val="solid"/>
            <w14:miter w14:val="0"/>
          </w14:textOutline>
        </w:rPr>
      </w:pPr>
      <w:r>
        <w:rPr>
          <w:rFonts w:hint="eastAsia" w:asciiTheme="majorEastAsia" w:hAnsiTheme="majorEastAsia" w:eastAsiaTheme="majorEastAsia" w:cstheme="majorEastAsia"/>
          <w:color w:val="auto"/>
          <w:spacing w:val="7"/>
          <w:sz w:val="29"/>
          <w:szCs w:val="29"/>
          <w:highlight w:val="none"/>
          <w14:textOutline w14:w="5435" w14:cap="flat" w14:cmpd="sng" w14:algn="ctr">
            <w14:solidFill>
              <w14:srgbClr w14:val="000000"/>
            </w14:solidFill>
            <w14:prstDash w14:val="solid"/>
            <w14:miter w14:val="0"/>
          </w14:textOutline>
        </w:rPr>
        <w:t>2.1分项报价表</w:t>
      </w:r>
      <w:r>
        <w:rPr>
          <w:rFonts w:hint="eastAsia" w:asciiTheme="majorEastAsia" w:hAnsiTheme="majorEastAsia" w:eastAsiaTheme="majorEastAsia" w:cstheme="majorEastAsia"/>
          <w:color w:val="auto"/>
          <w:spacing w:val="7"/>
          <w:sz w:val="29"/>
          <w:szCs w:val="29"/>
          <w:highlight w:val="none"/>
          <w:lang w:eastAsia="zh-CN"/>
          <w14:textOutline w14:w="5435" w14:cap="flat" w14:cmpd="sng" w14:algn="ctr">
            <w14:solidFill>
              <w14:srgbClr w14:val="000000"/>
            </w14:solidFill>
            <w14:prstDash w14:val="solid"/>
            <w14:miter w14:val="0"/>
          </w14:textOutline>
        </w:rPr>
        <w:t>（</w:t>
      </w:r>
      <w:r>
        <w:rPr>
          <w:rFonts w:hint="eastAsia" w:asciiTheme="majorEastAsia" w:hAnsiTheme="majorEastAsia" w:eastAsiaTheme="majorEastAsia" w:cstheme="majorEastAsia"/>
          <w:color w:val="auto"/>
          <w:spacing w:val="7"/>
          <w:sz w:val="29"/>
          <w:szCs w:val="29"/>
          <w:highlight w:val="none"/>
          <w:lang w:val="en-US" w:eastAsia="zh-CN"/>
          <w14:textOutline w14:w="5435" w14:cap="flat" w14:cmpd="sng" w14:algn="ctr">
            <w14:solidFill>
              <w14:srgbClr w14:val="000000"/>
            </w14:solidFill>
            <w14:prstDash w14:val="solid"/>
            <w14:miter w14:val="0"/>
          </w14:textOutline>
        </w:rPr>
        <w:t>如有</w:t>
      </w:r>
      <w:r>
        <w:rPr>
          <w:rFonts w:hint="eastAsia" w:asciiTheme="majorEastAsia" w:hAnsiTheme="majorEastAsia" w:eastAsiaTheme="majorEastAsia" w:cstheme="majorEastAsia"/>
          <w:color w:val="auto"/>
          <w:spacing w:val="7"/>
          <w:sz w:val="29"/>
          <w:szCs w:val="29"/>
          <w:highlight w:val="none"/>
          <w:lang w:eastAsia="zh-CN"/>
          <w14:textOutline w14:w="5435" w14:cap="flat" w14:cmpd="sng" w14:algn="ctr">
            <w14:solidFill>
              <w14:srgbClr w14:val="000000"/>
            </w14:solidFill>
            <w14:prstDash w14:val="solid"/>
            <w14:miter w14:val="0"/>
          </w14:textOutline>
        </w:rPr>
        <w:t>）</w:t>
      </w:r>
    </w:p>
    <w:p w14:paraId="7E5C2EE1">
      <w:pPr>
        <w:pStyle w:val="8"/>
        <w:spacing w:line="360" w:lineRule="auto"/>
        <w:ind w:firstLine="408" w:firstLineChars="200"/>
        <w:jc w:val="left"/>
        <w:rPr>
          <w:rFonts w:asciiTheme="majorEastAsia" w:hAnsiTheme="majorEastAsia" w:eastAsiaTheme="majorEastAsia" w:cstheme="majorEastAsia"/>
          <w:color w:val="auto"/>
          <w:kern w:val="0"/>
          <w:sz w:val="20"/>
          <w:szCs w:val="20"/>
          <w:highlight w:val="none"/>
        </w:rPr>
      </w:pPr>
      <w:r>
        <w:rPr>
          <w:rFonts w:hint="eastAsia" w:asciiTheme="majorEastAsia" w:hAnsiTheme="majorEastAsia" w:eastAsiaTheme="majorEastAsia" w:cstheme="majorEastAsia"/>
          <w:color w:val="auto"/>
          <w:kern w:val="0"/>
          <w:sz w:val="20"/>
          <w:szCs w:val="20"/>
          <w:highlight w:val="none"/>
        </w:rPr>
        <w:t>格式自拟</w:t>
      </w:r>
    </w:p>
    <w:p w14:paraId="01FEB26D">
      <w:pPr>
        <w:pStyle w:val="8"/>
        <w:spacing w:line="360" w:lineRule="auto"/>
        <w:ind w:firstLine="408" w:firstLineChars="200"/>
        <w:jc w:val="left"/>
        <w:rPr>
          <w:rFonts w:asciiTheme="majorEastAsia" w:hAnsiTheme="majorEastAsia" w:eastAsiaTheme="majorEastAsia" w:cstheme="majorEastAsia"/>
          <w:color w:val="auto"/>
          <w:kern w:val="0"/>
          <w:sz w:val="20"/>
          <w:szCs w:val="20"/>
          <w:highlight w:val="none"/>
        </w:rPr>
      </w:pPr>
    </w:p>
    <w:p w14:paraId="72F7EB4D">
      <w:pPr>
        <w:pStyle w:val="8"/>
        <w:spacing w:line="360" w:lineRule="auto"/>
        <w:ind w:firstLine="408" w:firstLineChars="200"/>
        <w:jc w:val="left"/>
        <w:rPr>
          <w:rFonts w:asciiTheme="majorEastAsia" w:hAnsiTheme="majorEastAsia" w:eastAsiaTheme="majorEastAsia" w:cstheme="majorEastAsia"/>
          <w:color w:val="auto"/>
          <w:kern w:val="0"/>
          <w:sz w:val="20"/>
          <w:szCs w:val="20"/>
          <w:highlight w:val="none"/>
        </w:rPr>
      </w:pPr>
    </w:p>
    <w:p w14:paraId="139D3BD4">
      <w:pPr>
        <w:pStyle w:val="8"/>
        <w:spacing w:line="360" w:lineRule="auto"/>
        <w:ind w:firstLine="408" w:firstLineChars="200"/>
        <w:jc w:val="left"/>
        <w:rPr>
          <w:rFonts w:asciiTheme="majorEastAsia" w:hAnsiTheme="majorEastAsia" w:eastAsiaTheme="majorEastAsia" w:cstheme="majorEastAsia"/>
          <w:color w:val="auto"/>
          <w:kern w:val="0"/>
          <w:sz w:val="20"/>
          <w:szCs w:val="20"/>
          <w:highlight w:val="none"/>
        </w:rPr>
      </w:pPr>
    </w:p>
    <w:p w14:paraId="1F8148C3">
      <w:pPr>
        <w:pStyle w:val="8"/>
        <w:spacing w:line="360" w:lineRule="auto"/>
        <w:ind w:firstLine="408" w:firstLineChars="200"/>
        <w:jc w:val="left"/>
        <w:rPr>
          <w:rFonts w:asciiTheme="majorEastAsia" w:hAnsiTheme="majorEastAsia" w:eastAsiaTheme="majorEastAsia" w:cstheme="majorEastAsia"/>
          <w:color w:val="auto"/>
          <w:kern w:val="0"/>
          <w:sz w:val="20"/>
          <w:szCs w:val="20"/>
          <w:highlight w:val="none"/>
        </w:rPr>
      </w:pPr>
    </w:p>
    <w:p w14:paraId="2A4F1B6A">
      <w:pPr>
        <w:pStyle w:val="8"/>
        <w:spacing w:line="360" w:lineRule="auto"/>
        <w:ind w:firstLine="408" w:firstLineChars="200"/>
        <w:jc w:val="left"/>
        <w:rPr>
          <w:rFonts w:asciiTheme="majorEastAsia" w:hAnsiTheme="majorEastAsia" w:eastAsiaTheme="majorEastAsia" w:cstheme="majorEastAsia"/>
          <w:color w:val="auto"/>
          <w:kern w:val="0"/>
          <w:sz w:val="20"/>
          <w:szCs w:val="20"/>
          <w:highlight w:val="none"/>
        </w:rPr>
      </w:pPr>
    </w:p>
    <w:p w14:paraId="4FF9E9AE">
      <w:pPr>
        <w:pStyle w:val="8"/>
        <w:spacing w:line="360" w:lineRule="auto"/>
        <w:ind w:firstLine="408" w:firstLineChars="200"/>
        <w:jc w:val="left"/>
        <w:rPr>
          <w:rFonts w:asciiTheme="majorEastAsia" w:hAnsiTheme="majorEastAsia" w:eastAsiaTheme="majorEastAsia" w:cstheme="majorEastAsia"/>
          <w:color w:val="auto"/>
          <w:kern w:val="0"/>
          <w:sz w:val="20"/>
          <w:szCs w:val="20"/>
          <w:highlight w:val="none"/>
        </w:rPr>
      </w:pPr>
    </w:p>
    <w:p w14:paraId="3AA0F156">
      <w:pPr>
        <w:pStyle w:val="8"/>
        <w:spacing w:line="360" w:lineRule="auto"/>
        <w:ind w:firstLine="408" w:firstLineChars="200"/>
        <w:jc w:val="left"/>
        <w:rPr>
          <w:rFonts w:asciiTheme="majorEastAsia" w:hAnsiTheme="majorEastAsia" w:eastAsiaTheme="majorEastAsia" w:cstheme="majorEastAsia"/>
          <w:color w:val="auto"/>
          <w:kern w:val="0"/>
          <w:sz w:val="20"/>
          <w:szCs w:val="20"/>
          <w:highlight w:val="none"/>
        </w:rPr>
      </w:pPr>
    </w:p>
    <w:p w14:paraId="04D4CD4E">
      <w:pPr>
        <w:pStyle w:val="8"/>
        <w:spacing w:line="360" w:lineRule="auto"/>
        <w:ind w:firstLine="408" w:firstLineChars="200"/>
        <w:jc w:val="left"/>
        <w:rPr>
          <w:rFonts w:asciiTheme="majorEastAsia" w:hAnsiTheme="majorEastAsia" w:eastAsiaTheme="majorEastAsia" w:cstheme="majorEastAsia"/>
          <w:color w:val="auto"/>
          <w:kern w:val="0"/>
          <w:sz w:val="20"/>
          <w:szCs w:val="20"/>
          <w:highlight w:val="none"/>
        </w:rPr>
      </w:pPr>
    </w:p>
    <w:p w14:paraId="551A4F15">
      <w:pPr>
        <w:pStyle w:val="8"/>
        <w:spacing w:line="360" w:lineRule="auto"/>
        <w:ind w:firstLine="408" w:firstLineChars="200"/>
        <w:jc w:val="left"/>
        <w:rPr>
          <w:rFonts w:asciiTheme="majorEastAsia" w:hAnsiTheme="majorEastAsia" w:eastAsiaTheme="majorEastAsia" w:cstheme="majorEastAsia"/>
          <w:color w:val="auto"/>
          <w:kern w:val="0"/>
          <w:sz w:val="20"/>
          <w:szCs w:val="20"/>
          <w:highlight w:val="none"/>
        </w:rPr>
      </w:pPr>
    </w:p>
    <w:p w14:paraId="31ED9C4D">
      <w:pPr>
        <w:pStyle w:val="8"/>
        <w:spacing w:line="360" w:lineRule="auto"/>
        <w:ind w:firstLine="408" w:firstLineChars="200"/>
        <w:jc w:val="left"/>
        <w:rPr>
          <w:rFonts w:asciiTheme="majorEastAsia" w:hAnsiTheme="majorEastAsia" w:eastAsiaTheme="majorEastAsia" w:cstheme="majorEastAsia"/>
          <w:color w:val="auto"/>
          <w:kern w:val="0"/>
          <w:sz w:val="20"/>
          <w:szCs w:val="20"/>
          <w:highlight w:val="none"/>
        </w:rPr>
      </w:pPr>
    </w:p>
    <w:p w14:paraId="32EBE479">
      <w:pPr>
        <w:pStyle w:val="8"/>
        <w:spacing w:line="360" w:lineRule="auto"/>
        <w:ind w:firstLine="408" w:firstLineChars="200"/>
        <w:jc w:val="left"/>
        <w:rPr>
          <w:rFonts w:asciiTheme="majorEastAsia" w:hAnsiTheme="majorEastAsia" w:eastAsiaTheme="majorEastAsia" w:cstheme="majorEastAsia"/>
          <w:color w:val="auto"/>
          <w:kern w:val="0"/>
          <w:sz w:val="20"/>
          <w:szCs w:val="20"/>
          <w:highlight w:val="none"/>
        </w:rPr>
      </w:pPr>
    </w:p>
    <w:p w14:paraId="29EE7885">
      <w:pPr>
        <w:pStyle w:val="8"/>
        <w:spacing w:line="360" w:lineRule="auto"/>
        <w:ind w:firstLine="408" w:firstLineChars="200"/>
        <w:jc w:val="left"/>
        <w:rPr>
          <w:rFonts w:asciiTheme="majorEastAsia" w:hAnsiTheme="majorEastAsia" w:eastAsiaTheme="majorEastAsia" w:cstheme="majorEastAsia"/>
          <w:color w:val="auto"/>
          <w:kern w:val="0"/>
          <w:sz w:val="20"/>
          <w:szCs w:val="20"/>
          <w:highlight w:val="none"/>
        </w:rPr>
      </w:pPr>
    </w:p>
    <w:p w14:paraId="4C2EC246">
      <w:pPr>
        <w:pStyle w:val="8"/>
        <w:spacing w:line="360" w:lineRule="auto"/>
        <w:ind w:firstLine="408" w:firstLineChars="200"/>
        <w:jc w:val="left"/>
        <w:rPr>
          <w:rFonts w:asciiTheme="majorEastAsia" w:hAnsiTheme="majorEastAsia" w:eastAsiaTheme="majorEastAsia" w:cstheme="majorEastAsia"/>
          <w:color w:val="auto"/>
          <w:kern w:val="0"/>
          <w:sz w:val="20"/>
          <w:szCs w:val="20"/>
          <w:highlight w:val="none"/>
        </w:rPr>
      </w:pPr>
    </w:p>
    <w:p w14:paraId="74346A04">
      <w:pPr>
        <w:pStyle w:val="8"/>
        <w:spacing w:line="360" w:lineRule="auto"/>
        <w:ind w:firstLine="408" w:firstLineChars="200"/>
        <w:jc w:val="left"/>
        <w:rPr>
          <w:rFonts w:asciiTheme="majorEastAsia" w:hAnsiTheme="majorEastAsia" w:eastAsiaTheme="majorEastAsia" w:cstheme="majorEastAsia"/>
          <w:color w:val="auto"/>
          <w:kern w:val="0"/>
          <w:sz w:val="20"/>
          <w:szCs w:val="20"/>
          <w:highlight w:val="none"/>
        </w:rPr>
      </w:pPr>
    </w:p>
    <w:p w14:paraId="6026CCE9">
      <w:pPr>
        <w:pStyle w:val="8"/>
        <w:spacing w:line="360" w:lineRule="auto"/>
        <w:ind w:firstLine="408" w:firstLineChars="200"/>
        <w:jc w:val="left"/>
        <w:rPr>
          <w:rFonts w:asciiTheme="majorEastAsia" w:hAnsiTheme="majorEastAsia" w:eastAsiaTheme="majorEastAsia" w:cstheme="majorEastAsia"/>
          <w:color w:val="auto"/>
          <w:kern w:val="0"/>
          <w:sz w:val="20"/>
          <w:szCs w:val="20"/>
          <w:highlight w:val="none"/>
        </w:rPr>
      </w:pPr>
    </w:p>
    <w:p w14:paraId="03BC9A7A">
      <w:pPr>
        <w:pStyle w:val="8"/>
        <w:spacing w:line="360" w:lineRule="auto"/>
        <w:ind w:firstLine="408" w:firstLineChars="200"/>
        <w:jc w:val="left"/>
        <w:rPr>
          <w:rFonts w:asciiTheme="majorEastAsia" w:hAnsiTheme="majorEastAsia" w:eastAsiaTheme="majorEastAsia" w:cstheme="majorEastAsia"/>
          <w:color w:val="auto"/>
          <w:kern w:val="0"/>
          <w:sz w:val="20"/>
          <w:szCs w:val="20"/>
          <w:highlight w:val="none"/>
        </w:rPr>
      </w:pPr>
    </w:p>
    <w:p w14:paraId="4F0D970B">
      <w:pPr>
        <w:pStyle w:val="8"/>
        <w:spacing w:line="360" w:lineRule="auto"/>
        <w:ind w:firstLine="408" w:firstLineChars="200"/>
        <w:jc w:val="left"/>
        <w:rPr>
          <w:rFonts w:asciiTheme="majorEastAsia" w:hAnsiTheme="majorEastAsia" w:eastAsiaTheme="majorEastAsia" w:cstheme="majorEastAsia"/>
          <w:color w:val="auto"/>
          <w:kern w:val="0"/>
          <w:sz w:val="20"/>
          <w:szCs w:val="20"/>
          <w:highlight w:val="none"/>
        </w:rPr>
      </w:pPr>
    </w:p>
    <w:p w14:paraId="645B2CF0">
      <w:pPr>
        <w:pStyle w:val="8"/>
        <w:spacing w:line="360" w:lineRule="auto"/>
        <w:ind w:firstLine="408" w:firstLineChars="200"/>
        <w:jc w:val="left"/>
        <w:rPr>
          <w:rFonts w:asciiTheme="majorEastAsia" w:hAnsiTheme="majorEastAsia" w:eastAsiaTheme="majorEastAsia" w:cstheme="majorEastAsia"/>
          <w:color w:val="auto"/>
          <w:kern w:val="0"/>
          <w:sz w:val="20"/>
          <w:szCs w:val="20"/>
          <w:highlight w:val="none"/>
        </w:rPr>
      </w:pPr>
    </w:p>
    <w:p w14:paraId="733EBCF2">
      <w:pPr>
        <w:pStyle w:val="8"/>
        <w:spacing w:line="360" w:lineRule="auto"/>
        <w:ind w:firstLine="408" w:firstLineChars="200"/>
        <w:jc w:val="left"/>
        <w:rPr>
          <w:rFonts w:asciiTheme="majorEastAsia" w:hAnsiTheme="majorEastAsia" w:eastAsiaTheme="majorEastAsia" w:cstheme="majorEastAsia"/>
          <w:color w:val="auto"/>
          <w:kern w:val="0"/>
          <w:sz w:val="20"/>
          <w:szCs w:val="20"/>
          <w:highlight w:val="none"/>
        </w:rPr>
      </w:pPr>
    </w:p>
    <w:p w14:paraId="686A3B99">
      <w:pPr>
        <w:pStyle w:val="8"/>
        <w:spacing w:line="360" w:lineRule="auto"/>
        <w:ind w:firstLine="408" w:firstLineChars="200"/>
        <w:jc w:val="left"/>
        <w:rPr>
          <w:rFonts w:asciiTheme="majorEastAsia" w:hAnsiTheme="majorEastAsia" w:eastAsiaTheme="majorEastAsia" w:cstheme="majorEastAsia"/>
          <w:color w:val="auto"/>
          <w:kern w:val="0"/>
          <w:sz w:val="20"/>
          <w:szCs w:val="20"/>
          <w:highlight w:val="none"/>
        </w:rPr>
      </w:pPr>
    </w:p>
    <w:p w14:paraId="71ED0B61">
      <w:pPr>
        <w:pStyle w:val="8"/>
        <w:spacing w:line="360" w:lineRule="auto"/>
        <w:ind w:firstLine="408" w:firstLineChars="200"/>
        <w:jc w:val="left"/>
        <w:rPr>
          <w:rFonts w:asciiTheme="majorEastAsia" w:hAnsiTheme="majorEastAsia" w:eastAsiaTheme="majorEastAsia" w:cstheme="majorEastAsia"/>
          <w:color w:val="auto"/>
          <w:kern w:val="0"/>
          <w:sz w:val="20"/>
          <w:szCs w:val="20"/>
          <w:highlight w:val="none"/>
        </w:rPr>
      </w:pPr>
    </w:p>
    <w:p w14:paraId="7A145D13">
      <w:pPr>
        <w:spacing w:line="360" w:lineRule="auto"/>
        <w:ind w:left="-10" w:leftChars="-5" w:firstLine="10" w:firstLineChars="3"/>
        <w:jc w:val="center"/>
        <w:rPr>
          <w:rFonts w:asciiTheme="majorEastAsia" w:hAnsiTheme="majorEastAsia" w:eastAsiaTheme="majorEastAsia" w:cstheme="majorEastAsia"/>
          <w:b/>
          <w:color w:val="auto"/>
          <w:sz w:val="28"/>
          <w:szCs w:val="28"/>
          <w:highlight w:val="none"/>
        </w:rPr>
      </w:pPr>
      <w:r>
        <w:rPr>
          <w:rFonts w:hint="eastAsia" w:asciiTheme="majorEastAsia" w:hAnsiTheme="majorEastAsia" w:eastAsiaTheme="majorEastAsia" w:cstheme="majorEastAsia"/>
          <w:b/>
          <w:color w:val="auto"/>
          <w:sz w:val="36"/>
          <w:szCs w:val="36"/>
          <w:highlight w:val="none"/>
        </w:rPr>
        <w:t>三、法定代表人身份证明</w:t>
      </w:r>
    </w:p>
    <w:p w14:paraId="028CF1B7">
      <w:pPr>
        <w:pStyle w:val="9"/>
        <w:spacing w:before="317" w:beforeLines="100" w:after="158" w:afterLines="50" w:line="360" w:lineRule="auto"/>
        <w:ind w:left="429"/>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致（采购代理机构）：</w:t>
      </w:r>
    </w:p>
    <w:p w14:paraId="5903DAAB">
      <w:pPr>
        <w:pStyle w:val="9"/>
        <w:spacing w:before="317" w:beforeLines="100" w:after="158" w:afterLines="50" w:line="360" w:lineRule="auto"/>
        <w:ind w:left="429"/>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u w:val="single"/>
        </w:rPr>
        <w:t xml:space="preserve">（投标单位全称） </w:t>
      </w:r>
      <w:r>
        <w:rPr>
          <w:rFonts w:hint="eastAsia" w:asciiTheme="majorEastAsia" w:hAnsiTheme="majorEastAsia" w:eastAsiaTheme="majorEastAsia" w:cstheme="majorEastAsia"/>
          <w:color w:val="auto"/>
          <w:highlight w:val="none"/>
        </w:rPr>
        <w:t>法定代表人</w:t>
      </w:r>
      <w:r>
        <w:rPr>
          <w:rFonts w:hint="eastAsia" w:asciiTheme="majorEastAsia" w:hAnsiTheme="majorEastAsia" w:eastAsiaTheme="majorEastAsia" w:cstheme="majorEastAsia"/>
          <w:color w:val="auto"/>
          <w:highlight w:val="none"/>
          <w:u w:val="single"/>
        </w:rPr>
        <w:t xml:space="preserve"> 姓名</w:t>
      </w:r>
      <w:r>
        <w:rPr>
          <w:rFonts w:hint="eastAsia" w:asciiTheme="majorEastAsia" w:hAnsiTheme="majorEastAsia" w:eastAsiaTheme="majorEastAsia" w:cstheme="majorEastAsia"/>
          <w:color w:val="auto"/>
          <w:highlight w:val="none"/>
        </w:rPr>
        <w:t>（身份证号码：</w:t>
      </w:r>
      <w:r>
        <w:rPr>
          <w:rFonts w:hint="eastAsia" w:asciiTheme="majorEastAsia" w:hAnsiTheme="majorEastAsia" w:eastAsiaTheme="majorEastAsia" w:cstheme="majorEastAsia"/>
          <w:color w:val="auto"/>
          <w:highlight w:val="none"/>
          <w:u w:val="single"/>
        </w:rPr>
        <w:t xml:space="preserve"> </w:t>
      </w:r>
      <w:r>
        <w:rPr>
          <w:rFonts w:hint="eastAsia" w:asciiTheme="majorEastAsia" w:hAnsiTheme="majorEastAsia" w:eastAsiaTheme="majorEastAsia" w:cstheme="majorEastAsia"/>
          <w:color w:val="auto"/>
          <w:highlight w:val="none"/>
        </w:rPr>
        <w:t>），参加贵方组织的项目名称（项目编号：</w:t>
      </w:r>
      <w:r>
        <w:rPr>
          <w:rFonts w:hint="eastAsia" w:asciiTheme="majorEastAsia" w:hAnsiTheme="majorEastAsia" w:eastAsiaTheme="majorEastAsia" w:cstheme="majorEastAsia"/>
          <w:color w:val="auto"/>
          <w:highlight w:val="none"/>
          <w:u w:val="single"/>
        </w:rPr>
        <w:t xml:space="preserve"> </w:t>
      </w:r>
      <w:r>
        <w:rPr>
          <w:rFonts w:hint="eastAsia" w:asciiTheme="majorEastAsia" w:hAnsiTheme="majorEastAsia" w:eastAsiaTheme="majorEastAsia" w:cstheme="majorEastAsia"/>
          <w:color w:val="auto"/>
          <w:highlight w:val="none"/>
        </w:rPr>
        <w:t>）的招标投标活动，代表本公司处理招标投标活动中的一切事宜。</w:t>
      </w:r>
    </w:p>
    <w:tbl>
      <w:tblPr>
        <w:tblStyle w:val="20"/>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0"/>
        <w:gridCol w:w="4512"/>
      </w:tblGrid>
      <w:tr w14:paraId="677D0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6" w:hRule="atLeast"/>
        </w:trPr>
        <w:tc>
          <w:tcPr>
            <w:tcW w:w="4560" w:type="dxa"/>
            <w:vAlign w:val="center"/>
          </w:tcPr>
          <w:p w14:paraId="058D8F44">
            <w:pPr>
              <w:pStyle w:val="9"/>
              <w:spacing w:before="317" w:beforeLines="100" w:after="158" w:afterLines="50" w:line="360" w:lineRule="auto"/>
              <w:ind w:left="429"/>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法定代表人身份证复印件</w:t>
            </w:r>
          </w:p>
          <w:p w14:paraId="54FB13D3">
            <w:pPr>
              <w:pStyle w:val="9"/>
              <w:spacing w:before="317" w:beforeLines="100" w:after="158" w:afterLines="50" w:line="360" w:lineRule="auto"/>
              <w:ind w:left="429"/>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正面</w:t>
            </w:r>
          </w:p>
          <w:p w14:paraId="0A99D30D">
            <w:pPr>
              <w:pStyle w:val="9"/>
              <w:spacing w:before="317" w:beforeLines="100" w:after="158" w:afterLines="50" w:line="360" w:lineRule="auto"/>
              <w:ind w:left="429"/>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（身份证复印件需清晰可辨认）</w:t>
            </w:r>
          </w:p>
        </w:tc>
        <w:tc>
          <w:tcPr>
            <w:tcW w:w="4512" w:type="dxa"/>
            <w:vAlign w:val="center"/>
          </w:tcPr>
          <w:p w14:paraId="2DC270AB">
            <w:pPr>
              <w:pStyle w:val="9"/>
              <w:spacing w:before="317" w:beforeLines="100" w:after="158" w:afterLines="50" w:line="360" w:lineRule="auto"/>
              <w:ind w:left="429"/>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法定代表人身份证复印件</w:t>
            </w:r>
          </w:p>
          <w:p w14:paraId="68A16E68">
            <w:pPr>
              <w:pStyle w:val="9"/>
              <w:spacing w:before="317" w:beforeLines="100" w:after="158" w:afterLines="50" w:line="360" w:lineRule="auto"/>
              <w:ind w:left="429"/>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反面</w:t>
            </w:r>
          </w:p>
          <w:p w14:paraId="39DB87D8">
            <w:pPr>
              <w:pStyle w:val="9"/>
              <w:spacing w:before="317" w:beforeLines="100" w:after="158" w:afterLines="50" w:line="360" w:lineRule="auto"/>
              <w:ind w:left="429"/>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（身份证复印件需清晰可辨认）</w:t>
            </w:r>
          </w:p>
        </w:tc>
      </w:tr>
    </w:tbl>
    <w:p w14:paraId="1EC1EA33">
      <w:pPr>
        <w:pStyle w:val="9"/>
        <w:spacing w:before="317" w:beforeLines="100" w:after="158" w:afterLines="50" w:line="360" w:lineRule="auto"/>
        <w:ind w:left="429"/>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注：身份证复印件如为粘贴的，须在身份证复印件与本页接缝处加盖公章；</w:t>
      </w:r>
    </w:p>
    <w:p w14:paraId="621BB6A4">
      <w:pPr>
        <w:pStyle w:val="9"/>
        <w:spacing w:before="317" w:beforeLines="100" w:after="158" w:afterLines="50" w:line="360" w:lineRule="auto"/>
        <w:ind w:left="429"/>
        <w:rPr>
          <w:rFonts w:asciiTheme="majorEastAsia" w:hAnsiTheme="majorEastAsia" w:eastAsiaTheme="majorEastAsia" w:cstheme="majorEastAsia"/>
          <w:color w:val="auto"/>
          <w:highlight w:val="none"/>
        </w:rPr>
      </w:pPr>
    </w:p>
    <w:p w14:paraId="14F090F3">
      <w:pPr>
        <w:pStyle w:val="9"/>
        <w:spacing w:before="317" w:beforeLines="100" w:after="158" w:afterLines="50" w:line="360" w:lineRule="auto"/>
        <w:ind w:left="429"/>
        <w:jc w:val="center"/>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 xml:space="preserve">                                                法定代表人（签章）：  </w:t>
      </w:r>
    </w:p>
    <w:p w14:paraId="7988DC70">
      <w:pPr>
        <w:pStyle w:val="9"/>
        <w:spacing w:before="317" w:beforeLines="100" w:after="158" w:afterLines="50" w:line="360" w:lineRule="auto"/>
        <w:ind w:left="429"/>
        <w:jc w:val="center"/>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 xml:space="preserve">                                            供应商（公章）：</w:t>
      </w:r>
    </w:p>
    <w:p w14:paraId="58A1E86B">
      <w:pPr>
        <w:spacing w:line="360" w:lineRule="auto"/>
        <w:ind w:left="-10" w:leftChars="-5" w:firstLine="8" w:firstLineChars="3"/>
        <w:jc w:val="center"/>
        <w:rPr>
          <w:rFonts w:asciiTheme="majorEastAsia" w:hAnsiTheme="majorEastAsia" w:eastAsiaTheme="majorEastAsia" w:cstheme="majorEastAsia"/>
          <w:color w:val="auto"/>
          <w:sz w:val="28"/>
          <w:szCs w:val="28"/>
          <w:highlight w:val="none"/>
        </w:rPr>
      </w:pPr>
    </w:p>
    <w:p w14:paraId="34ACB5F7">
      <w:pPr>
        <w:spacing w:line="360" w:lineRule="auto"/>
        <w:ind w:left="-10" w:leftChars="-5" w:firstLine="8" w:firstLineChars="3"/>
        <w:jc w:val="center"/>
        <w:rPr>
          <w:rFonts w:asciiTheme="majorEastAsia" w:hAnsiTheme="majorEastAsia" w:eastAsiaTheme="majorEastAsia" w:cstheme="majorEastAsia"/>
          <w:color w:val="auto"/>
          <w:sz w:val="28"/>
          <w:szCs w:val="28"/>
          <w:highlight w:val="none"/>
        </w:rPr>
      </w:pPr>
    </w:p>
    <w:p w14:paraId="0779A9D5">
      <w:pPr>
        <w:spacing w:line="360" w:lineRule="auto"/>
        <w:ind w:left="-10" w:leftChars="-5" w:firstLine="8" w:firstLineChars="3"/>
        <w:jc w:val="center"/>
        <w:rPr>
          <w:rFonts w:asciiTheme="majorEastAsia" w:hAnsiTheme="majorEastAsia" w:eastAsiaTheme="majorEastAsia" w:cstheme="majorEastAsia"/>
          <w:color w:val="auto"/>
          <w:sz w:val="28"/>
          <w:szCs w:val="28"/>
          <w:highlight w:val="none"/>
        </w:rPr>
      </w:pPr>
    </w:p>
    <w:p w14:paraId="39E20C97">
      <w:pPr>
        <w:spacing w:line="360" w:lineRule="auto"/>
        <w:ind w:left="-10" w:leftChars="-5" w:firstLine="8" w:firstLineChars="3"/>
        <w:jc w:val="center"/>
        <w:rPr>
          <w:rFonts w:asciiTheme="majorEastAsia" w:hAnsiTheme="majorEastAsia" w:eastAsiaTheme="majorEastAsia" w:cstheme="majorEastAsia"/>
          <w:color w:val="auto"/>
          <w:sz w:val="28"/>
          <w:szCs w:val="28"/>
          <w:highlight w:val="none"/>
        </w:rPr>
      </w:pPr>
    </w:p>
    <w:p w14:paraId="62BA30AF">
      <w:pPr>
        <w:spacing w:line="360" w:lineRule="auto"/>
        <w:ind w:left="-10" w:leftChars="-5" w:firstLine="8" w:firstLineChars="3"/>
        <w:jc w:val="center"/>
        <w:rPr>
          <w:rFonts w:asciiTheme="majorEastAsia" w:hAnsiTheme="majorEastAsia" w:eastAsiaTheme="majorEastAsia" w:cstheme="majorEastAsia"/>
          <w:color w:val="auto"/>
          <w:sz w:val="28"/>
          <w:szCs w:val="28"/>
          <w:highlight w:val="none"/>
        </w:rPr>
      </w:pPr>
    </w:p>
    <w:p w14:paraId="4F076AF9">
      <w:pPr>
        <w:spacing w:line="360" w:lineRule="auto"/>
        <w:ind w:left="-10" w:leftChars="-5" w:firstLine="8" w:firstLineChars="3"/>
        <w:jc w:val="center"/>
        <w:rPr>
          <w:rFonts w:asciiTheme="majorEastAsia" w:hAnsiTheme="majorEastAsia" w:eastAsiaTheme="majorEastAsia" w:cstheme="majorEastAsia"/>
          <w:color w:val="auto"/>
          <w:sz w:val="28"/>
          <w:szCs w:val="28"/>
          <w:highlight w:val="none"/>
        </w:rPr>
      </w:pPr>
    </w:p>
    <w:p w14:paraId="6D69168C">
      <w:pPr>
        <w:spacing w:line="360" w:lineRule="auto"/>
        <w:ind w:left="-10" w:leftChars="-5" w:firstLine="8" w:firstLineChars="3"/>
        <w:jc w:val="center"/>
        <w:rPr>
          <w:rFonts w:asciiTheme="majorEastAsia" w:hAnsiTheme="majorEastAsia" w:eastAsiaTheme="majorEastAsia" w:cstheme="majorEastAsia"/>
          <w:color w:val="auto"/>
          <w:sz w:val="28"/>
          <w:szCs w:val="28"/>
          <w:highlight w:val="none"/>
        </w:rPr>
      </w:pPr>
    </w:p>
    <w:p w14:paraId="7611C3A5">
      <w:pPr>
        <w:pStyle w:val="2"/>
        <w:spacing w:line="360" w:lineRule="auto"/>
        <w:ind w:firstLine="0" w:firstLineChars="0"/>
        <w:rPr>
          <w:rFonts w:asciiTheme="majorEastAsia" w:hAnsiTheme="majorEastAsia" w:eastAsiaTheme="majorEastAsia" w:cstheme="majorEastAsia"/>
          <w:color w:val="auto"/>
          <w:highlight w:val="none"/>
        </w:rPr>
      </w:pPr>
    </w:p>
    <w:p w14:paraId="1E4A4455">
      <w:pPr>
        <w:spacing w:line="360" w:lineRule="auto"/>
        <w:ind w:left="-10" w:leftChars="-5" w:firstLine="10" w:firstLineChars="3"/>
        <w:jc w:val="center"/>
        <w:rPr>
          <w:rFonts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b/>
          <w:bCs/>
          <w:color w:val="auto"/>
          <w:sz w:val="36"/>
          <w:szCs w:val="36"/>
          <w:highlight w:val="none"/>
        </w:rPr>
        <w:t>3.1法定代表人授权委托书</w:t>
      </w:r>
    </w:p>
    <w:p w14:paraId="4AECD100">
      <w:pPr>
        <w:pStyle w:val="9"/>
        <w:spacing w:before="317" w:beforeLines="100" w:after="158" w:afterLines="50" w:line="360" w:lineRule="auto"/>
        <w:ind w:left="429"/>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致</w:t>
      </w:r>
      <w:r>
        <w:rPr>
          <w:rFonts w:hint="eastAsia" w:asciiTheme="majorEastAsia" w:hAnsiTheme="majorEastAsia" w:eastAsiaTheme="majorEastAsia" w:cstheme="majorEastAsia"/>
          <w:color w:val="auto"/>
          <w:highlight w:val="none"/>
          <w:u w:val="single"/>
        </w:rPr>
        <w:t>（采购代理机构）</w:t>
      </w:r>
      <w:r>
        <w:rPr>
          <w:rFonts w:hint="eastAsia" w:asciiTheme="majorEastAsia" w:hAnsiTheme="majorEastAsia" w:eastAsiaTheme="majorEastAsia" w:cstheme="majorEastAsia"/>
          <w:color w:val="auto"/>
          <w:highlight w:val="none"/>
        </w:rPr>
        <w:t>：</w:t>
      </w:r>
    </w:p>
    <w:p w14:paraId="3715F9D2">
      <w:pPr>
        <w:pStyle w:val="9"/>
        <w:spacing w:before="317" w:beforeLines="100" w:after="158" w:afterLines="50" w:line="360" w:lineRule="auto"/>
        <w:ind w:left="429" w:firstLine="438" w:firstLineChars="205"/>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u w:val="single"/>
        </w:rPr>
        <w:t xml:space="preserve">（投标单位全称） </w:t>
      </w:r>
      <w:r>
        <w:rPr>
          <w:rFonts w:hint="eastAsia" w:asciiTheme="majorEastAsia" w:hAnsiTheme="majorEastAsia" w:eastAsiaTheme="majorEastAsia" w:cstheme="majorEastAsia"/>
          <w:color w:val="auto"/>
          <w:highlight w:val="none"/>
        </w:rPr>
        <w:t>法定代表人</w:t>
      </w:r>
      <w:r>
        <w:rPr>
          <w:rFonts w:hint="eastAsia" w:asciiTheme="majorEastAsia" w:hAnsiTheme="majorEastAsia" w:eastAsiaTheme="majorEastAsia" w:cstheme="majorEastAsia"/>
          <w:color w:val="auto"/>
          <w:highlight w:val="none"/>
          <w:u w:val="single"/>
        </w:rPr>
        <w:t xml:space="preserve"> 姓名 </w:t>
      </w:r>
      <w:r>
        <w:rPr>
          <w:rFonts w:hint="eastAsia" w:asciiTheme="majorEastAsia" w:hAnsiTheme="majorEastAsia" w:eastAsiaTheme="majorEastAsia" w:cstheme="majorEastAsia"/>
          <w:color w:val="auto"/>
          <w:highlight w:val="none"/>
        </w:rPr>
        <w:t>授权</w:t>
      </w:r>
      <w:r>
        <w:rPr>
          <w:rFonts w:hint="eastAsia" w:asciiTheme="majorEastAsia" w:hAnsiTheme="majorEastAsia" w:eastAsiaTheme="majorEastAsia" w:cstheme="majorEastAsia"/>
          <w:color w:val="auto"/>
          <w:highlight w:val="none"/>
          <w:u w:val="single"/>
        </w:rPr>
        <w:t xml:space="preserve"> 被授权人姓名</w:t>
      </w:r>
      <w:r>
        <w:rPr>
          <w:rFonts w:hint="eastAsia" w:asciiTheme="majorEastAsia" w:hAnsiTheme="majorEastAsia" w:eastAsiaTheme="majorEastAsia" w:cstheme="majorEastAsia"/>
          <w:color w:val="auto"/>
          <w:highlight w:val="none"/>
        </w:rPr>
        <w:t>（身份证号码：</w:t>
      </w:r>
      <w:r>
        <w:rPr>
          <w:rFonts w:hint="eastAsia" w:asciiTheme="majorEastAsia" w:hAnsiTheme="majorEastAsia" w:eastAsiaTheme="majorEastAsia" w:cstheme="majorEastAsia"/>
          <w:color w:val="auto"/>
          <w:highlight w:val="none"/>
          <w:u w:val="single"/>
        </w:rPr>
        <w:t xml:space="preserve">  </w:t>
      </w:r>
      <w:r>
        <w:rPr>
          <w:rFonts w:hint="eastAsia" w:asciiTheme="majorEastAsia" w:hAnsiTheme="majorEastAsia" w:eastAsiaTheme="majorEastAsia" w:cstheme="majorEastAsia"/>
          <w:color w:val="auto"/>
          <w:highlight w:val="none"/>
        </w:rPr>
        <w:t>）为本公司合法代理人，参加贵方组织的</w:t>
      </w:r>
      <w:r>
        <w:rPr>
          <w:rFonts w:hint="eastAsia" w:asciiTheme="majorEastAsia" w:hAnsiTheme="majorEastAsia" w:eastAsiaTheme="majorEastAsia" w:cstheme="majorEastAsia"/>
          <w:color w:val="auto"/>
          <w:highlight w:val="none"/>
          <w:u w:val="single"/>
        </w:rPr>
        <w:t xml:space="preserve">   项目名称  </w:t>
      </w:r>
      <w:r>
        <w:rPr>
          <w:rFonts w:hint="eastAsia" w:asciiTheme="majorEastAsia" w:hAnsiTheme="majorEastAsia" w:eastAsiaTheme="majorEastAsia" w:cstheme="majorEastAsia"/>
          <w:color w:val="auto"/>
          <w:highlight w:val="none"/>
        </w:rPr>
        <w:t>（项目编号：</w:t>
      </w:r>
      <w:r>
        <w:rPr>
          <w:rFonts w:hint="eastAsia" w:asciiTheme="majorEastAsia" w:hAnsiTheme="majorEastAsia" w:eastAsiaTheme="majorEastAsia" w:cstheme="majorEastAsia"/>
          <w:color w:val="auto"/>
          <w:highlight w:val="none"/>
          <w:u w:val="single"/>
        </w:rPr>
        <w:t xml:space="preserve">   </w:t>
      </w:r>
      <w:r>
        <w:rPr>
          <w:rFonts w:hint="eastAsia" w:asciiTheme="majorEastAsia" w:hAnsiTheme="majorEastAsia" w:eastAsiaTheme="majorEastAsia" w:cstheme="majorEastAsia"/>
          <w:color w:val="auto"/>
          <w:highlight w:val="none"/>
        </w:rPr>
        <w:t>）的招标投标活动，代表本公司处理招标投标活动中的一切事宜。</w:t>
      </w:r>
    </w:p>
    <w:p w14:paraId="160EF56A">
      <w:pPr>
        <w:pStyle w:val="9"/>
        <w:spacing w:before="317" w:beforeLines="100" w:after="158" w:afterLines="50" w:line="360" w:lineRule="auto"/>
        <w:ind w:left="429" w:firstLine="438" w:firstLineChars="205"/>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本授权委托书签章即生效，被委托人无转委托权。</w:t>
      </w:r>
    </w:p>
    <w:tbl>
      <w:tblPr>
        <w:tblStyle w:val="20"/>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0"/>
        <w:gridCol w:w="4512"/>
      </w:tblGrid>
      <w:tr w14:paraId="35B74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6" w:hRule="atLeast"/>
        </w:trPr>
        <w:tc>
          <w:tcPr>
            <w:tcW w:w="4560" w:type="dxa"/>
            <w:vAlign w:val="center"/>
          </w:tcPr>
          <w:p w14:paraId="273BCE88">
            <w:pPr>
              <w:pStyle w:val="9"/>
              <w:spacing w:before="317" w:beforeLines="100" w:after="158" w:afterLines="50" w:line="360" w:lineRule="auto"/>
              <w:ind w:left="429"/>
              <w:jc w:val="center"/>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法定代表人身份证复印件</w:t>
            </w:r>
          </w:p>
          <w:p w14:paraId="211D2ADA">
            <w:pPr>
              <w:pStyle w:val="9"/>
              <w:spacing w:before="317" w:beforeLines="100" w:after="158" w:afterLines="50" w:line="360" w:lineRule="auto"/>
              <w:ind w:left="429"/>
              <w:jc w:val="center"/>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正面</w:t>
            </w:r>
          </w:p>
          <w:p w14:paraId="141DE725">
            <w:pPr>
              <w:pStyle w:val="9"/>
              <w:spacing w:before="317" w:beforeLines="100" w:after="158" w:afterLines="50" w:line="360" w:lineRule="auto"/>
              <w:ind w:left="429"/>
              <w:jc w:val="center"/>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（身份证复印件需清晰可辨认）</w:t>
            </w:r>
          </w:p>
        </w:tc>
        <w:tc>
          <w:tcPr>
            <w:tcW w:w="4512" w:type="dxa"/>
            <w:vAlign w:val="center"/>
          </w:tcPr>
          <w:p w14:paraId="58888A23">
            <w:pPr>
              <w:pStyle w:val="9"/>
              <w:spacing w:before="317" w:beforeLines="100" w:after="158" w:afterLines="50" w:line="360" w:lineRule="auto"/>
              <w:ind w:left="429"/>
              <w:jc w:val="center"/>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被授权人身份证复印件</w:t>
            </w:r>
          </w:p>
          <w:p w14:paraId="095621F7">
            <w:pPr>
              <w:pStyle w:val="9"/>
              <w:spacing w:before="317" w:beforeLines="100" w:after="158" w:afterLines="50" w:line="360" w:lineRule="auto"/>
              <w:ind w:left="429"/>
              <w:jc w:val="center"/>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正面</w:t>
            </w:r>
          </w:p>
          <w:p w14:paraId="33607CDE">
            <w:pPr>
              <w:pStyle w:val="9"/>
              <w:spacing w:before="317" w:beforeLines="100" w:after="158" w:afterLines="50" w:line="360" w:lineRule="auto"/>
              <w:ind w:left="429"/>
              <w:jc w:val="center"/>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（身份证复印件需清晰可辨认）</w:t>
            </w:r>
          </w:p>
        </w:tc>
      </w:tr>
      <w:tr w14:paraId="4DB5D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9" w:hRule="atLeast"/>
        </w:trPr>
        <w:tc>
          <w:tcPr>
            <w:tcW w:w="4560" w:type="dxa"/>
            <w:vAlign w:val="center"/>
          </w:tcPr>
          <w:p w14:paraId="5D3751DC">
            <w:pPr>
              <w:pStyle w:val="9"/>
              <w:spacing w:before="317" w:beforeLines="100" w:after="158" w:afterLines="50" w:line="360" w:lineRule="auto"/>
              <w:ind w:left="429"/>
              <w:jc w:val="center"/>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法定代表人身份证复印件</w:t>
            </w:r>
          </w:p>
          <w:p w14:paraId="40D8414A">
            <w:pPr>
              <w:pStyle w:val="9"/>
              <w:spacing w:before="317" w:beforeLines="100" w:after="158" w:afterLines="50" w:line="360" w:lineRule="auto"/>
              <w:ind w:left="429"/>
              <w:jc w:val="center"/>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反面</w:t>
            </w:r>
          </w:p>
          <w:p w14:paraId="0968873D">
            <w:pPr>
              <w:pStyle w:val="9"/>
              <w:spacing w:before="317" w:beforeLines="100" w:after="158" w:afterLines="50" w:line="360" w:lineRule="auto"/>
              <w:ind w:left="429"/>
              <w:jc w:val="center"/>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（身份证复印件需清晰可辨认）</w:t>
            </w:r>
          </w:p>
        </w:tc>
        <w:tc>
          <w:tcPr>
            <w:tcW w:w="4512" w:type="dxa"/>
            <w:vAlign w:val="center"/>
          </w:tcPr>
          <w:p w14:paraId="024BD183">
            <w:pPr>
              <w:pStyle w:val="9"/>
              <w:spacing w:before="317" w:beforeLines="100" w:after="158" w:afterLines="50" w:line="360" w:lineRule="auto"/>
              <w:ind w:left="429"/>
              <w:jc w:val="center"/>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被授权人身份证复印件</w:t>
            </w:r>
          </w:p>
          <w:p w14:paraId="1284F08A">
            <w:pPr>
              <w:pStyle w:val="9"/>
              <w:spacing w:before="317" w:beforeLines="100" w:after="158" w:afterLines="50" w:line="360" w:lineRule="auto"/>
              <w:ind w:left="429"/>
              <w:jc w:val="center"/>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反面</w:t>
            </w:r>
          </w:p>
          <w:p w14:paraId="0F2CC930">
            <w:pPr>
              <w:pStyle w:val="9"/>
              <w:spacing w:before="317" w:beforeLines="100" w:after="158" w:afterLines="50" w:line="360" w:lineRule="auto"/>
              <w:ind w:left="429"/>
              <w:jc w:val="center"/>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（身份证复印件需清晰可辨认）</w:t>
            </w:r>
          </w:p>
        </w:tc>
      </w:tr>
    </w:tbl>
    <w:p w14:paraId="00F5EC54">
      <w:pPr>
        <w:pStyle w:val="9"/>
        <w:spacing w:before="317" w:beforeLines="100" w:after="158" w:afterLines="50" w:line="360" w:lineRule="auto"/>
        <w:ind w:left="429" w:firstLine="438" w:firstLineChars="205"/>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注：身份证复印件如为粘贴的，须在身份证复印件与本页接缝处加盖公章；</w:t>
      </w:r>
    </w:p>
    <w:p w14:paraId="2CADDE7D">
      <w:pPr>
        <w:pStyle w:val="9"/>
        <w:spacing w:before="317" w:beforeLines="100" w:after="158" w:afterLines="50" w:line="360" w:lineRule="auto"/>
        <w:ind w:left="429" w:firstLine="438" w:firstLineChars="205"/>
        <w:rPr>
          <w:rFonts w:asciiTheme="majorEastAsia" w:hAnsiTheme="majorEastAsia" w:eastAsiaTheme="majorEastAsia" w:cstheme="majorEastAsia"/>
          <w:color w:val="auto"/>
          <w:highlight w:val="none"/>
        </w:rPr>
      </w:pPr>
    </w:p>
    <w:p w14:paraId="4D5E8C88">
      <w:pPr>
        <w:pStyle w:val="9"/>
        <w:spacing w:before="317" w:beforeLines="100" w:after="158" w:afterLines="50" w:line="360" w:lineRule="auto"/>
        <w:ind w:left="429" w:firstLine="438" w:firstLineChars="205"/>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法定代表人（印章）：                        被授权代表签字：</w:t>
      </w:r>
    </w:p>
    <w:p w14:paraId="45B55228">
      <w:pPr>
        <w:pStyle w:val="9"/>
        <w:spacing w:before="317" w:beforeLines="100" w:after="158" w:afterLines="50" w:line="360" w:lineRule="auto"/>
        <w:ind w:left="429" w:firstLine="438" w:firstLineChars="205"/>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 xml:space="preserve">供应商（公章）： </w:t>
      </w:r>
    </w:p>
    <w:p w14:paraId="51EED47B">
      <w:pPr>
        <w:spacing w:line="360" w:lineRule="auto"/>
        <w:ind w:left="-10" w:leftChars="-5" w:firstLine="7" w:firstLineChars="3"/>
        <w:jc w:val="right"/>
        <w:rPr>
          <w:rFonts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年   月   日</w:t>
      </w:r>
    </w:p>
    <w:p w14:paraId="78295F1C">
      <w:pPr>
        <w:pStyle w:val="8"/>
        <w:spacing w:line="360" w:lineRule="auto"/>
        <w:jc w:val="left"/>
        <w:rPr>
          <w:rFonts w:asciiTheme="majorEastAsia" w:hAnsiTheme="majorEastAsia" w:eastAsiaTheme="majorEastAsia" w:cstheme="majorEastAsia"/>
          <w:color w:val="auto"/>
          <w:sz w:val="32"/>
          <w:highlight w:val="none"/>
        </w:rPr>
      </w:pPr>
    </w:p>
    <w:p w14:paraId="7598590E">
      <w:pPr>
        <w:pStyle w:val="8"/>
        <w:spacing w:line="360" w:lineRule="auto"/>
        <w:ind w:firstLine="648" w:firstLineChars="200"/>
        <w:jc w:val="center"/>
        <w:rPr>
          <w:rFonts w:asciiTheme="majorEastAsia" w:hAnsiTheme="majorEastAsia" w:eastAsiaTheme="majorEastAsia" w:cstheme="majorEastAsia"/>
          <w:color w:val="auto"/>
          <w:sz w:val="32"/>
          <w:highlight w:val="none"/>
        </w:rPr>
      </w:pPr>
      <w:r>
        <w:rPr>
          <w:rFonts w:hint="eastAsia" w:asciiTheme="majorEastAsia" w:hAnsiTheme="majorEastAsia" w:eastAsiaTheme="majorEastAsia" w:cstheme="majorEastAsia"/>
          <w:color w:val="auto"/>
          <w:sz w:val="32"/>
          <w:highlight w:val="none"/>
        </w:rPr>
        <w:t>四、一般资格</w:t>
      </w:r>
    </w:p>
    <w:p w14:paraId="23BC95DA">
      <w:pPr>
        <w:widowControl/>
        <w:spacing w:line="360" w:lineRule="auto"/>
        <w:jc w:val="left"/>
        <w:rPr>
          <w:rFonts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1.营业执照（复印或扫描件须加盖投标供应商公章）</w:t>
      </w:r>
    </w:p>
    <w:p w14:paraId="4413FDF0">
      <w:pPr>
        <w:pStyle w:val="8"/>
        <w:spacing w:line="360" w:lineRule="auto"/>
        <w:ind w:firstLine="488" w:firstLineChars="200"/>
        <w:jc w:val="left"/>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rPr>
        <w:t>要求及注意事项：</w:t>
      </w:r>
      <w:r>
        <w:rPr>
          <w:rFonts w:hint="eastAsia" w:asciiTheme="majorEastAsia" w:hAnsiTheme="majorEastAsia" w:eastAsiaTheme="majorEastAsia" w:cstheme="majorEastAsia"/>
          <w:color w:val="auto"/>
          <w:sz w:val="24"/>
          <w:highlight w:val="none"/>
          <w:lang w:val="zh-CN"/>
        </w:rPr>
        <w:t>供应商应保证复印件或扫描件清晰可辨识相关内容，且真实有效。</w:t>
      </w:r>
    </w:p>
    <w:p w14:paraId="72677DDC">
      <w:pPr>
        <w:spacing w:line="360" w:lineRule="auto"/>
        <w:rPr>
          <w:rFonts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2.财务状况报告材料（复印或扫描件须加盖投标供应商公章）</w:t>
      </w:r>
    </w:p>
    <w:p w14:paraId="6FF09E3C">
      <w:pPr>
        <w:pStyle w:val="8"/>
        <w:spacing w:line="360" w:lineRule="auto"/>
        <w:ind w:firstLine="488" w:firstLineChars="200"/>
        <w:jc w:val="left"/>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rPr>
        <w:t>要求及注意事项：按采购文件的规定和要求，复印或扫描件必须清晰，</w:t>
      </w:r>
      <w:r>
        <w:rPr>
          <w:rFonts w:hint="eastAsia" w:asciiTheme="majorEastAsia" w:hAnsiTheme="majorEastAsia" w:eastAsiaTheme="majorEastAsia" w:cstheme="majorEastAsia"/>
          <w:color w:val="auto"/>
          <w:sz w:val="24"/>
          <w:highlight w:val="none"/>
          <w:lang w:val="zh-CN"/>
        </w:rPr>
        <w:t>供应商应保证复印件或扫描件清晰可辨识相关内容，且真实有效。</w:t>
      </w:r>
    </w:p>
    <w:p w14:paraId="40ECDBAD">
      <w:pPr>
        <w:numPr>
          <w:ilvl w:val="0"/>
          <w:numId w:val="6"/>
        </w:numPr>
        <w:spacing w:line="360" w:lineRule="auto"/>
        <w:rPr>
          <w:rFonts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具备履行合同所必需的设备和专业技术能力的证明材料（供应商自行承诺，格式自拟）。</w:t>
      </w:r>
    </w:p>
    <w:p w14:paraId="2235B834">
      <w:pPr>
        <w:spacing w:line="360" w:lineRule="auto"/>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b/>
          <w:color w:val="auto"/>
          <w:sz w:val="24"/>
          <w:highlight w:val="none"/>
        </w:rPr>
        <w:t>4、</w:t>
      </w:r>
      <w:r>
        <w:rPr>
          <w:rFonts w:hint="eastAsia" w:asciiTheme="majorEastAsia" w:hAnsiTheme="majorEastAsia" w:eastAsiaTheme="majorEastAsia" w:cstheme="majorEastAsia"/>
          <w:b/>
          <w:bCs/>
          <w:color w:val="auto"/>
          <w:kern w:val="0"/>
          <w:sz w:val="24"/>
          <w:szCs w:val="18"/>
          <w:highlight w:val="none"/>
        </w:rPr>
        <w:t>提供2025年至今任意1个月依法缴纳税收和社会保障资金的有效证明材料（不需要缴纳税收的提供相关证明材料）</w:t>
      </w:r>
      <w:r>
        <w:rPr>
          <w:rFonts w:hint="eastAsia" w:asciiTheme="majorEastAsia" w:hAnsiTheme="majorEastAsia" w:eastAsiaTheme="majorEastAsia" w:cstheme="majorEastAsia"/>
          <w:b/>
          <w:color w:val="auto"/>
          <w:sz w:val="24"/>
          <w:highlight w:val="none"/>
        </w:rPr>
        <w:t>（复印或扫描件须加盖投标供应商公章）</w:t>
      </w:r>
    </w:p>
    <w:p w14:paraId="0083E0A9">
      <w:pPr>
        <w:spacing w:line="360" w:lineRule="auto"/>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要求及注意事项：按采购文件规定的时间要求提交相关凭证。</w:t>
      </w:r>
    </w:p>
    <w:p w14:paraId="1ED3176E">
      <w:pPr>
        <w:spacing w:line="360" w:lineRule="auto"/>
        <w:ind w:left="79" w:hanging="79"/>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rPr>
        <w:t>注意：依法缴纳税收有效凭证指：征税机关出具加盖公章的供应商在采购文件规定时间内的完税证明文件或在采购文件规定时间内的自主电子缴税银行收款凭证，银行收款凭证必须加盖银行规定的专用章。依法缴纳社会保障资金有效凭证指：加盖收款银行专用章的银行收款凭证。复印或扫描件必须清晰，</w:t>
      </w:r>
      <w:r>
        <w:rPr>
          <w:rFonts w:hint="eastAsia" w:asciiTheme="majorEastAsia" w:hAnsiTheme="majorEastAsia" w:eastAsiaTheme="majorEastAsia" w:cstheme="majorEastAsia"/>
          <w:color w:val="auto"/>
          <w:sz w:val="24"/>
          <w:highlight w:val="none"/>
          <w:lang w:val="zh-CN"/>
        </w:rPr>
        <w:t>供应商应保证复印件或扫描件清晰可辨识相关内容，且真实有效。</w:t>
      </w:r>
    </w:p>
    <w:p w14:paraId="483C0E7A">
      <w:pPr>
        <w:pStyle w:val="2"/>
        <w:spacing w:line="360" w:lineRule="auto"/>
        <w:ind w:firstLine="0" w:firstLineChars="0"/>
        <w:rPr>
          <w:rFonts w:asciiTheme="majorEastAsia" w:hAnsiTheme="majorEastAsia" w:eastAsiaTheme="majorEastAsia" w:cstheme="majorEastAsia"/>
          <w:b w:val="0"/>
          <w:color w:val="auto"/>
          <w:sz w:val="24"/>
          <w:highlight w:val="none"/>
        </w:rPr>
      </w:pPr>
      <w:r>
        <w:rPr>
          <w:rFonts w:hint="eastAsia" w:asciiTheme="majorEastAsia" w:hAnsiTheme="majorEastAsia" w:eastAsiaTheme="majorEastAsia" w:cstheme="majorEastAsia"/>
          <w:b w:val="0"/>
          <w:color w:val="auto"/>
          <w:sz w:val="24"/>
          <w:highlight w:val="none"/>
        </w:rPr>
        <w:t>特别情况：若采购文件要求提供月度完税证明时，投标供应商存在某月零报税情况时，无缴税银行收款凭证，只需提供电子税务申报表复印件或扫描件加盖公章即可。</w:t>
      </w:r>
    </w:p>
    <w:p w14:paraId="3E5EEB3A">
      <w:pPr>
        <w:pStyle w:val="2"/>
        <w:spacing w:line="360" w:lineRule="auto"/>
        <w:ind w:firstLine="0" w:firstLineChars="0"/>
        <w:rPr>
          <w:rFonts w:asciiTheme="majorEastAsia" w:hAnsiTheme="majorEastAsia" w:eastAsiaTheme="majorEastAsia" w:cstheme="majorEastAsia"/>
          <w:b w:val="0"/>
          <w:color w:val="auto"/>
          <w:sz w:val="24"/>
          <w:highlight w:val="none"/>
        </w:rPr>
      </w:pPr>
    </w:p>
    <w:p w14:paraId="5013251D">
      <w:pPr>
        <w:pStyle w:val="2"/>
        <w:spacing w:line="360" w:lineRule="auto"/>
        <w:ind w:firstLine="0" w:firstLineChars="0"/>
        <w:rPr>
          <w:rFonts w:asciiTheme="majorEastAsia" w:hAnsiTheme="majorEastAsia" w:eastAsiaTheme="majorEastAsia" w:cstheme="majorEastAsia"/>
          <w:b w:val="0"/>
          <w:color w:val="auto"/>
          <w:sz w:val="24"/>
          <w:highlight w:val="none"/>
        </w:rPr>
      </w:pPr>
    </w:p>
    <w:p w14:paraId="67B089CD">
      <w:pPr>
        <w:pStyle w:val="2"/>
        <w:spacing w:line="360" w:lineRule="auto"/>
        <w:ind w:firstLine="0" w:firstLineChars="0"/>
        <w:rPr>
          <w:rFonts w:asciiTheme="majorEastAsia" w:hAnsiTheme="majorEastAsia" w:eastAsiaTheme="majorEastAsia" w:cstheme="majorEastAsia"/>
          <w:b w:val="0"/>
          <w:color w:val="auto"/>
          <w:sz w:val="24"/>
          <w:highlight w:val="none"/>
        </w:rPr>
      </w:pPr>
    </w:p>
    <w:p w14:paraId="6E259652">
      <w:pPr>
        <w:pStyle w:val="2"/>
        <w:spacing w:line="360" w:lineRule="auto"/>
        <w:ind w:firstLine="0" w:firstLineChars="0"/>
        <w:rPr>
          <w:rFonts w:asciiTheme="majorEastAsia" w:hAnsiTheme="majorEastAsia" w:eastAsiaTheme="majorEastAsia" w:cstheme="majorEastAsia"/>
          <w:b w:val="0"/>
          <w:color w:val="auto"/>
          <w:sz w:val="24"/>
          <w:highlight w:val="none"/>
        </w:rPr>
      </w:pPr>
    </w:p>
    <w:p w14:paraId="5C0EA16A">
      <w:pPr>
        <w:pStyle w:val="2"/>
        <w:spacing w:line="360" w:lineRule="auto"/>
        <w:ind w:firstLine="0" w:firstLineChars="0"/>
        <w:rPr>
          <w:rFonts w:asciiTheme="majorEastAsia" w:hAnsiTheme="majorEastAsia" w:eastAsiaTheme="majorEastAsia" w:cstheme="majorEastAsia"/>
          <w:b w:val="0"/>
          <w:color w:val="auto"/>
          <w:sz w:val="24"/>
          <w:highlight w:val="none"/>
        </w:rPr>
      </w:pPr>
    </w:p>
    <w:p w14:paraId="6C5E3D23">
      <w:pPr>
        <w:spacing w:before="158" w:beforeLines="50" w:after="158" w:afterLines="50" w:line="360" w:lineRule="auto"/>
        <w:rPr>
          <w:rFonts w:asciiTheme="majorEastAsia" w:hAnsiTheme="majorEastAsia" w:eastAsiaTheme="majorEastAsia" w:cstheme="majorEastAsia"/>
          <w:b/>
          <w:color w:val="auto"/>
          <w:sz w:val="30"/>
          <w:szCs w:val="30"/>
          <w:highlight w:val="none"/>
        </w:rPr>
      </w:pPr>
      <w:r>
        <w:rPr>
          <w:rFonts w:hint="eastAsia" w:asciiTheme="majorEastAsia" w:hAnsiTheme="majorEastAsia" w:eastAsiaTheme="majorEastAsia" w:cstheme="majorEastAsia"/>
          <w:b/>
          <w:color w:val="auto"/>
          <w:sz w:val="30"/>
          <w:szCs w:val="30"/>
          <w:highlight w:val="none"/>
        </w:rPr>
        <w:t>5、声明及承诺</w:t>
      </w:r>
    </w:p>
    <w:p w14:paraId="48BDCD72">
      <w:pPr>
        <w:numPr>
          <w:ilvl w:val="0"/>
          <w:numId w:val="7"/>
        </w:numPr>
        <w:spacing w:line="360" w:lineRule="auto"/>
        <w:rPr>
          <w:rFonts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参加政府采购活动前3年内在经营活动中没有重大违法记录的书面声明。</w:t>
      </w:r>
    </w:p>
    <w:p w14:paraId="2A63F6AA">
      <w:pPr>
        <w:spacing w:line="360" w:lineRule="auto"/>
        <w:rPr>
          <w:rFonts w:asciiTheme="majorEastAsia" w:hAnsiTheme="majorEastAsia" w:eastAsiaTheme="majorEastAsia" w:cstheme="majorEastAsia"/>
          <w:b/>
          <w:color w:val="auto"/>
          <w:sz w:val="28"/>
          <w:szCs w:val="28"/>
          <w:highlight w:val="none"/>
        </w:rPr>
      </w:pPr>
    </w:p>
    <w:p w14:paraId="7BF75CEA">
      <w:pPr>
        <w:spacing w:line="360" w:lineRule="auto"/>
        <w:jc w:val="center"/>
        <w:rPr>
          <w:rFonts w:asciiTheme="majorEastAsia" w:hAnsiTheme="majorEastAsia" w:eastAsiaTheme="majorEastAsia" w:cstheme="majorEastAsia"/>
          <w:b/>
          <w:color w:val="auto"/>
          <w:sz w:val="28"/>
          <w:szCs w:val="28"/>
          <w:highlight w:val="none"/>
        </w:rPr>
      </w:pPr>
      <w:r>
        <w:rPr>
          <w:rFonts w:hint="eastAsia" w:asciiTheme="majorEastAsia" w:hAnsiTheme="majorEastAsia" w:eastAsiaTheme="majorEastAsia" w:cstheme="majorEastAsia"/>
          <w:b/>
          <w:color w:val="auto"/>
          <w:sz w:val="36"/>
          <w:szCs w:val="36"/>
          <w:highlight w:val="none"/>
        </w:rPr>
        <w:t>无重大违法记录的声明函</w:t>
      </w:r>
    </w:p>
    <w:p w14:paraId="298BFEB9">
      <w:pPr>
        <w:spacing w:line="360" w:lineRule="auto"/>
        <w:rPr>
          <w:rFonts w:asciiTheme="majorEastAsia" w:hAnsiTheme="majorEastAsia" w:eastAsiaTheme="majorEastAsia" w:cstheme="majorEastAsia"/>
          <w:color w:val="auto"/>
          <w:szCs w:val="21"/>
          <w:highlight w:val="none"/>
        </w:rPr>
      </w:pPr>
    </w:p>
    <w:p w14:paraId="66161543">
      <w:pPr>
        <w:spacing w:line="360" w:lineRule="auto"/>
        <w:rPr>
          <w:rFonts w:asciiTheme="majorEastAsia" w:hAnsiTheme="majorEastAsia" w:eastAsiaTheme="majorEastAsia" w:cstheme="majorEastAsia"/>
          <w:color w:val="auto"/>
          <w:sz w:val="24"/>
          <w:highlight w:val="none"/>
          <w:u w:val="single"/>
        </w:rPr>
      </w:pPr>
      <w:r>
        <w:rPr>
          <w:rFonts w:hint="eastAsia" w:asciiTheme="majorEastAsia" w:hAnsiTheme="majorEastAsia" w:eastAsiaTheme="majorEastAsia" w:cstheme="majorEastAsia"/>
          <w:color w:val="auto"/>
          <w:sz w:val="24"/>
          <w:highlight w:val="none"/>
        </w:rPr>
        <w:t>致：</w:t>
      </w:r>
      <w:r>
        <w:rPr>
          <w:rFonts w:hint="eastAsia" w:asciiTheme="majorEastAsia" w:hAnsiTheme="majorEastAsia" w:eastAsiaTheme="majorEastAsia" w:cstheme="majorEastAsia"/>
          <w:color w:val="auto"/>
          <w:sz w:val="24"/>
          <w:highlight w:val="none"/>
          <w:u w:val="single"/>
        </w:rPr>
        <w:t xml:space="preserve">   （采购人或采购代理机构）     </w:t>
      </w:r>
    </w:p>
    <w:p w14:paraId="7E26BE6D">
      <w:pPr>
        <w:spacing w:line="360" w:lineRule="auto"/>
        <w:ind w:firstLine="488" w:firstLineChars="20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u w:val="single"/>
        </w:rPr>
        <w:t xml:space="preserve">      （供应商全称）            </w:t>
      </w:r>
      <w:r>
        <w:rPr>
          <w:rFonts w:hint="eastAsia" w:asciiTheme="majorEastAsia" w:hAnsiTheme="majorEastAsia" w:eastAsiaTheme="majorEastAsia" w:cstheme="majorEastAsia"/>
          <w:color w:val="auto"/>
          <w:sz w:val="24"/>
          <w:highlight w:val="none"/>
        </w:rPr>
        <w:t>，参加贵单位组织的项目编号为：</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，项目名称：</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的政府采购活动，在此郑重声明：我单位在参加本项目政府采购活动前3年内在经营活动中未因违法经营受到刑事处罚或者责令停产停业、吊销许可证或者执照、较大数额罚款等行政处罚。</w:t>
      </w:r>
    </w:p>
    <w:p w14:paraId="5557FFEF">
      <w:pPr>
        <w:spacing w:line="360" w:lineRule="auto"/>
        <w:ind w:firstLine="488" w:firstLineChars="200"/>
        <w:rPr>
          <w:rFonts w:asciiTheme="majorEastAsia" w:hAnsiTheme="majorEastAsia" w:eastAsiaTheme="majorEastAsia" w:cstheme="majorEastAsia"/>
          <w:color w:val="auto"/>
          <w:sz w:val="24"/>
          <w:highlight w:val="none"/>
        </w:rPr>
      </w:pPr>
    </w:p>
    <w:p w14:paraId="1208E28C">
      <w:pPr>
        <w:spacing w:line="360" w:lineRule="auto"/>
        <w:rPr>
          <w:rFonts w:asciiTheme="majorEastAsia" w:hAnsiTheme="majorEastAsia" w:eastAsiaTheme="majorEastAsia" w:cstheme="majorEastAsia"/>
          <w:color w:val="auto"/>
          <w:sz w:val="24"/>
          <w:highlight w:val="none"/>
        </w:rPr>
      </w:pPr>
    </w:p>
    <w:p w14:paraId="09FA8A9F">
      <w:pPr>
        <w:spacing w:line="360" w:lineRule="auto"/>
        <w:rPr>
          <w:rFonts w:asciiTheme="majorEastAsia" w:hAnsiTheme="majorEastAsia" w:eastAsiaTheme="majorEastAsia" w:cstheme="majorEastAsia"/>
          <w:color w:val="auto"/>
          <w:sz w:val="24"/>
          <w:highlight w:val="none"/>
        </w:rPr>
      </w:pPr>
    </w:p>
    <w:p w14:paraId="4A0A3688">
      <w:pPr>
        <w:spacing w:line="360" w:lineRule="auto"/>
        <w:jc w:val="right"/>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投标供应商：（盖章）</w:t>
      </w:r>
    </w:p>
    <w:p w14:paraId="311EE128">
      <w:pPr>
        <w:pStyle w:val="2"/>
        <w:spacing w:line="360" w:lineRule="auto"/>
        <w:ind w:firstLine="0" w:firstLineChars="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声明时间：</w:t>
      </w:r>
    </w:p>
    <w:p w14:paraId="2E14BEE3">
      <w:pPr>
        <w:pStyle w:val="2"/>
        <w:spacing w:line="360" w:lineRule="auto"/>
        <w:ind w:firstLine="0" w:firstLineChars="0"/>
        <w:rPr>
          <w:rFonts w:asciiTheme="majorEastAsia" w:hAnsiTheme="majorEastAsia" w:eastAsiaTheme="majorEastAsia" w:cstheme="majorEastAsia"/>
          <w:color w:val="auto"/>
          <w:sz w:val="24"/>
          <w:highlight w:val="none"/>
        </w:rPr>
      </w:pPr>
    </w:p>
    <w:p w14:paraId="5B8FA371">
      <w:pPr>
        <w:pStyle w:val="2"/>
        <w:spacing w:line="360" w:lineRule="auto"/>
        <w:ind w:firstLine="0" w:firstLineChars="0"/>
        <w:rPr>
          <w:rFonts w:asciiTheme="majorEastAsia" w:hAnsiTheme="majorEastAsia" w:eastAsiaTheme="majorEastAsia" w:cstheme="majorEastAsia"/>
          <w:color w:val="auto"/>
          <w:sz w:val="24"/>
          <w:highlight w:val="none"/>
        </w:rPr>
      </w:pPr>
    </w:p>
    <w:p w14:paraId="39AE4C76">
      <w:pPr>
        <w:pStyle w:val="2"/>
        <w:spacing w:line="360" w:lineRule="auto"/>
        <w:ind w:firstLine="0" w:firstLineChars="0"/>
        <w:rPr>
          <w:rFonts w:asciiTheme="majorEastAsia" w:hAnsiTheme="majorEastAsia" w:eastAsiaTheme="majorEastAsia" w:cstheme="majorEastAsia"/>
          <w:color w:val="auto"/>
          <w:sz w:val="24"/>
          <w:highlight w:val="none"/>
        </w:rPr>
      </w:pPr>
    </w:p>
    <w:p w14:paraId="6C5A2686">
      <w:pPr>
        <w:pStyle w:val="2"/>
        <w:spacing w:line="360" w:lineRule="auto"/>
        <w:ind w:firstLine="0" w:firstLineChars="0"/>
        <w:rPr>
          <w:rFonts w:asciiTheme="majorEastAsia" w:hAnsiTheme="majorEastAsia" w:eastAsiaTheme="majorEastAsia" w:cstheme="majorEastAsia"/>
          <w:color w:val="auto"/>
          <w:sz w:val="24"/>
          <w:highlight w:val="none"/>
        </w:rPr>
      </w:pPr>
    </w:p>
    <w:p w14:paraId="76AA4D56">
      <w:pPr>
        <w:pStyle w:val="2"/>
        <w:spacing w:line="360" w:lineRule="auto"/>
        <w:ind w:firstLine="0" w:firstLineChars="0"/>
        <w:rPr>
          <w:rFonts w:asciiTheme="majorEastAsia" w:hAnsiTheme="majorEastAsia" w:eastAsiaTheme="majorEastAsia" w:cstheme="majorEastAsia"/>
          <w:color w:val="auto"/>
          <w:sz w:val="24"/>
          <w:highlight w:val="none"/>
        </w:rPr>
      </w:pPr>
    </w:p>
    <w:p w14:paraId="6A300254">
      <w:pPr>
        <w:pStyle w:val="2"/>
        <w:spacing w:line="360" w:lineRule="auto"/>
        <w:ind w:firstLine="0" w:firstLineChars="0"/>
        <w:rPr>
          <w:rFonts w:asciiTheme="majorEastAsia" w:hAnsiTheme="majorEastAsia" w:eastAsiaTheme="majorEastAsia" w:cstheme="majorEastAsia"/>
          <w:color w:val="auto"/>
          <w:sz w:val="24"/>
          <w:highlight w:val="none"/>
        </w:rPr>
      </w:pPr>
    </w:p>
    <w:p w14:paraId="063D4990">
      <w:pPr>
        <w:pStyle w:val="2"/>
        <w:spacing w:line="360" w:lineRule="auto"/>
        <w:ind w:firstLine="0" w:firstLineChars="0"/>
        <w:rPr>
          <w:rFonts w:asciiTheme="majorEastAsia" w:hAnsiTheme="majorEastAsia" w:eastAsiaTheme="majorEastAsia" w:cstheme="majorEastAsia"/>
          <w:color w:val="auto"/>
          <w:sz w:val="24"/>
          <w:highlight w:val="none"/>
        </w:rPr>
      </w:pPr>
    </w:p>
    <w:p w14:paraId="29D3E6F3">
      <w:pPr>
        <w:spacing w:line="360" w:lineRule="auto"/>
        <w:jc w:val="left"/>
        <w:rPr>
          <w:rFonts w:asciiTheme="majorEastAsia" w:hAnsiTheme="majorEastAsia" w:eastAsiaTheme="majorEastAsia" w:cstheme="majorEastAsia"/>
          <w:b/>
          <w:bCs/>
          <w:color w:val="auto"/>
          <w:kern w:val="0"/>
          <w:szCs w:val="21"/>
          <w:highlight w:val="none"/>
        </w:rPr>
      </w:pPr>
      <w:r>
        <w:rPr>
          <w:rFonts w:hint="eastAsia" w:asciiTheme="majorEastAsia" w:hAnsiTheme="majorEastAsia" w:eastAsiaTheme="majorEastAsia" w:cstheme="majorEastAsia"/>
          <w:color w:val="auto"/>
          <w:sz w:val="24"/>
          <w:highlight w:val="none"/>
        </w:rPr>
        <w:t>6、</w:t>
      </w:r>
      <w:r>
        <w:rPr>
          <w:rFonts w:hint="eastAsia" w:asciiTheme="majorEastAsia" w:hAnsiTheme="majorEastAsia" w:eastAsiaTheme="majorEastAsia" w:cstheme="majorEastAsia"/>
          <w:b/>
          <w:bCs/>
          <w:color w:val="auto"/>
          <w:kern w:val="0"/>
          <w:sz w:val="24"/>
          <w:highlight w:val="none"/>
        </w:rPr>
        <w:t>供应商信用记录</w:t>
      </w:r>
      <w:r>
        <w:rPr>
          <w:rFonts w:hint="eastAsia" w:asciiTheme="majorEastAsia" w:hAnsiTheme="majorEastAsia" w:eastAsiaTheme="majorEastAsia" w:cstheme="majorEastAsia"/>
          <w:b/>
          <w:bCs/>
          <w:color w:val="auto"/>
          <w:sz w:val="24"/>
          <w:highlight w:val="none"/>
        </w:rPr>
        <w:t>承诺书</w:t>
      </w:r>
    </w:p>
    <w:p w14:paraId="757F3B72">
      <w:pPr>
        <w:spacing w:line="360" w:lineRule="auto"/>
        <w:jc w:val="center"/>
        <w:rPr>
          <w:rFonts w:asciiTheme="majorEastAsia" w:hAnsiTheme="majorEastAsia" w:eastAsiaTheme="majorEastAsia" w:cstheme="majorEastAsia"/>
          <w:b/>
          <w:bCs/>
          <w:color w:val="auto"/>
          <w:szCs w:val="21"/>
          <w:highlight w:val="none"/>
        </w:rPr>
      </w:pPr>
      <w:r>
        <w:rPr>
          <w:rFonts w:hint="eastAsia" w:asciiTheme="majorEastAsia" w:hAnsiTheme="majorEastAsia" w:eastAsiaTheme="majorEastAsia" w:cstheme="majorEastAsia"/>
          <w:b/>
          <w:bCs/>
          <w:color w:val="auto"/>
          <w:kern w:val="0"/>
          <w:sz w:val="36"/>
          <w:szCs w:val="36"/>
          <w:highlight w:val="none"/>
        </w:rPr>
        <w:t>供应商信用记录</w:t>
      </w:r>
      <w:r>
        <w:rPr>
          <w:rFonts w:hint="eastAsia" w:asciiTheme="majorEastAsia" w:hAnsiTheme="majorEastAsia" w:eastAsiaTheme="majorEastAsia" w:cstheme="majorEastAsia"/>
          <w:b/>
          <w:bCs/>
          <w:color w:val="auto"/>
          <w:sz w:val="36"/>
          <w:szCs w:val="36"/>
          <w:highlight w:val="none"/>
        </w:rPr>
        <w:t>承诺书</w:t>
      </w:r>
    </w:p>
    <w:p w14:paraId="0ECA9007">
      <w:pPr>
        <w:spacing w:line="360" w:lineRule="auto"/>
        <w:ind w:firstLine="428" w:firstLineChars="200"/>
        <w:jc w:val="left"/>
        <w:rPr>
          <w:rFonts w:asciiTheme="majorEastAsia" w:hAnsiTheme="majorEastAsia" w:eastAsiaTheme="majorEastAsia" w:cstheme="majorEastAsia"/>
          <w:color w:val="auto"/>
          <w:szCs w:val="21"/>
          <w:highlight w:val="none"/>
        </w:rPr>
      </w:pPr>
    </w:p>
    <w:p w14:paraId="0B4CB4BA">
      <w:pPr>
        <w:spacing w:line="360" w:lineRule="auto"/>
        <w:rPr>
          <w:rFonts w:asciiTheme="majorEastAsia" w:hAnsiTheme="majorEastAsia" w:eastAsiaTheme="majorEastAsia" w:cstheme="majorEastAsia"/>
          <w:color w:val="auto"/>
          <w:sz w:val="24"/>
          <w:highlight w:val="none"/>
          <w:u w:val="single"/>
        </w:rPr>
      </w:pPr>
      <w:r>
        <w:rPr>
          <w:rFonts w:hint="eastAsia" w:asciiTheme="majorEastAsia" w:hAnsiTheme="majorEastAsia" w:eastAsiaTheme="majorEastAsia" w:cstheme="majorEastAsia"/>
          <w:color w:val="auto"/>
          <w:sz w:val="24"/>
          <w:highlight w:val="none"/>
        </w:rPr>
        <w:t>致：</w:t>
      </w:r>
      <w:r>
        <w:rPr>
          <w:rFonts w:hint="eastAsia" w:asciiTheme="majorEastAsia" w:hAnsiTheme="majorEastAsia" w:eastAsiaTheme="majorEastAsia" w:cstheme="majorEastAsia"/>
          <w:color w:val="auto"/>
          <w:sz w:val="24"/>
          <w:highlight w:val="none"/>
          <w:u w:val="single"/>
        </w:rPr>
        <w:t xml:space="preserve">   （采购人或采购代理机构）     </w:t>
      </w:r>
    </w:p>
    <w:p w14:paraId="5FC0968E">
      <w:pPr>
        <w:spacing w:line="360" w:lineRule="auto"/>
        <w:ind w:firstLine="488" w:firstLineChars="200"/>
        <w:jc w:val="left"/>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u w:val="single"/>
        </w:rPr>
        <w:t xml:space="preserve">      （供应商全称）            </w:t>
      </w:r>
      <w:r>
        <w:rPr>
          <w:rFonts w:hint="eastAsia" w:asciiTheme="majorEastAsia" w:hAnsiTheme="majorEastAsia" w:eastAsiaTheme="majorEastAsia" w:cstheme="majorEastAsia"/>
          <w:color w:val="auto"/>
          <w:sz w:val="24"/>
          <w:highlight w:val="none"/>
        </w:rPr>
        <w:t>参加贵单位组织的项目编号为：</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，项目名称：</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的政府采购活动，在此郑重承诺</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年</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月</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日在“信用中国”网站（www.creditchina.gov.cn）、中国政府采购网（www.ccgp.gov.cn）等渠道查询采购公告发布之日前未被列入失信被执行人名单、重大税收违法失信主体、政府采购严重违法失信行为记录名单中，如被列入失信被执行人、重大税收违法失信主体、政府采购严重违法失信行为记录名单中的自愿取消其投标资格，并自愿承担由此造成的一切法律责任及后果。</w:t>
      </w:r>
    </w:p>
    <w:p w14:paraId="07F5CB3F">
      <w:pPr>
        <w:spacing w:line="360" w:lineRule="auto"/>
        <w:ind w:firstLine="488" w:firstLineChars="200"/>
        <w:rPr>
          <w:rFonts w:asciiTheme="majorEastAsia" w:hAnsiTheme="majorEastAsia" w:eastAsiaTheme="majorEastAsia" w:cstheme="majorEastAsia"/>
          <w:color w:val="auto"/>
          <w:sz w:val="24"/>
          <w:highlight w:val="none"/>
        </w:rPr>
      </w:pPr>
    </w:p>
    <w:p w14:paraId="548913F0">
      <w:pPr>
        <w:spacing w:line="360" w:lineRule="auto"/>
        <w:rPr>
          <w:rFonts w:asciiTheme="majorEastAsia" w:hAnsiTheme="majorEastAsia" w:eastAsiaTheme="majorEastAsia" w:cstheme="majorEastAsia"/>
          <w:color w:val="auto"/>
          <w:sz w:val="24"/>
          <w:highlight w:val="none"/>
        </w:rPr>
      </w:pPr>
    </w:p>
    <w:p w14:paraId="19F31F6F">
      <w:pPr>
        <w:pStyle w:val="18"/>
        <w:shd w:val="clear" w:color="auto" w:fill="FFFFFF"/>
        <w:ind w:firstLine="5002" w:firstLineChars="2050"/>
        <w:jc w:val="left"/>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承诺单位（公章）：</w:t>
      </w:r>
    </w:p>
    <w:p w14:paraId="4BAB8D7F">
      <w:pPr>
        <w:pStyle w:val="18"/>
        <w:shd w:val="clear" w:color="auto" w:fill="FFFFFF"/>
        <w:ind w:firstLine="5002" w:firstLineChars="2050"/>
        <w:jc w:val="left"/>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签署日期：   年   月  日</w:t>
      </w:r>
    </w:p>
    <w:p w14:paraId="00A6A17B">
      <w:pPr>
        <w:pStyle w:val="2"/>
        <w:spacing w:line="360" w:lineRule="auto"/>
        <w:ind w:firstLine="0" w:firstLineChars="0"/>
        <w:rPr>
          <w:rFonts w:asciiTheme="majorEastAsia" w:hAnsiTheme="majorEastAsia" w:eastAsiaTheme="majorEastAsia" w:cstheme="majorEastAsia"/>
          <w:color w:val="auto"/>
          <w:highlight w:val="none"/>
        </w:rPr>
      </w:pPr>
    </w:p>
    <w:p w14:paraId="0E490476">
      <w:pPr>
        <w:pStyle w:val="2"/>
        <w:spacing w:line="360" w:lineRule="auto"/>
        <w:ind w:firstLine="0" w:firstLineChars="0"/>
        <w:rPr>
          <w:rFonts w:asciiTheme="majorEastAsia" w:hAnsiTheme="majorEastAsia" w:eastAsiaTheme="majorEastAsia" w:cstheme="majorEastAsia"/>
          <w:color w:val="auto"/>
          <w:highlight w:val="none"/>
        </w:rPr>
      </w:pPr>
    </w:p>
    <w:p w14:paraId="0757B1C4">
      <w:pPr>
        <w:pStyle w:val="2"/>
        <w:spacing w:line="360" w:lineRule="auto"/>
        <w:ind w:firstLine="0" w:firstLineChars="0"/>
        <w:rPr>
          <w:rFonts w:asciiTheme="majorEastAsia" w:hAnsiTheme="majorEastAsia" w:eastAsiaTheme="majorEastAsia" w:cstheme="majorEastAsia"/>
          <w:color w:val="auto"/>
          <w:highlight w:val="none"/>
        </w:rPr>
      </w:pPr>
    </w:p>
    <w:p w14:paraId="5BEC3735">
      <w:pPr>
        <w:pStyle w:val="2"/>
        <w:spacing w:line="360" w:lineRule="auto"/>
        <w:ind w:firstLine="0" w:firstLineChars="0"/>
        <w:rPr>
          <w:rFonts w:asciiTheme="majorEastAsia" w:hAnsiTheme="majorEastAsia" w:eastAsiaTheme="majorEastAsia" w:cstheme="majorEastAsia"/>
          <w:color w:val="auto"/>
          <w:highlight w:val="none"/>
        </w:rPr>
      </w:pPr>
    </w:p>
    <w:p w14:paraId="134B78DC">
      <w:pPr>
        <w:pStyle w:val="2"/>
        <w:spacing w:line="360" w:lineRule="auto"/>
        <w:ind w:firstLine="0" w:firstLineChars="0"/>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附网页查询截图</w:t>
      </w:r>
    </w:p>
    <w:p w14:paraId="59D49894">
      <w:pPr>
        <w:pStyle w:val="2"/>
        <w:spacing w:line="360" w:lineRule="auto"/>
        <w:ind w:firstLine="0" w:firstLineChars="0"/>
        <w:rPr>
          <w:rFonts w:asciiTheme="majorEastAsia" w:hAnsiTheme="majorEastAsia" w:eastAsiaTheme="majorEastAsia" w:cstheme="majorEastAsia"/>
          <w:color w:val="auto"/>
          <w:highlight w:val="none"/>
        </w:rPr>
      </w:pPr>
    </w:p>
    <w:p w14:paraId="450AC7BF">
      <w:pPr>
        <w:spacing w:before="117" w:line="360" w:lineRule="auto"/>
        <w:ind w:left="36"/>
        <w:rPr>
          <w:rFonts w:asciiTheme="majorEastAsia" w:hAnsiTheme="majorEastAsia" w:eastAsiaTheme="majorEastAsia" w:cstheme="majorEastAsia"/>
          <w:color w:val="auto"/>
          <w:sz w:val="36"/>
          <w:szCs w:val="36"/>
          <w:highlight w:val="none"/>
        </w:rPr>
      </w:pPr>
      <w:r>
        <w:rPr>
          <w:rFonts w:hint="eastAsia" w:asciiTheme="majorEastAsia" w:hAnsiTheme="majorEastAsia" w:eastAsiaTheme="majorEastAsia" w:cstheme="majorEastAsia"/>
          <w:color w:val="auto"/>
          <w:spacing w:val="17"/>
          <w:sz w:val="36"/>
          <w:szCs w:val="36"/>
          <w:highlight w:val="none"/>
          <w14:textOutline w14:w="6527" w14:cap="flat" w14:cmpd="sng" w14:algn="ctr">
            <w14:solidFill>
              <w14:srgbClr w14:val="000000"/>
            </w14:solidFill>
            <w14:prstDash w14:val="solid"/>
            <w14:miter w14:val="0"/>
          </w14:textOutline>
        </w:rPr>
        <w:t>7、</w:t>
      </w:r>
      <w:r>
        <w:rPr>
          <w:rFonts w:hint="eastAsia" w:asciiTheme="majorEastAsia" w:hAnsiTheme="majorEastAsia" w:eastAsiaTheme="majorEastAsia" w:cstheme="majorEastAsia"/>
          <w:color w:val="auto"/>
          <w:spacing w:val="17"/>
          <w:sz w:val="36"/>
          <w:szCs w:val="36"/>
          <w:highlight w:val="none"/>
        </w:rPr>
        <w:t xml:space="preserve"> </w:t>
      </w:r>
      <w:r>
        <w:rPr>
          <w:rFonts w:hint="eastAsia" w:asciiTheme="majorEastAsia" w:hAnsiTheme="majorEastAsia" w:eastAsiaTheme="majorEastAsia" w:cstheme="majorEastAsia"/>
          <w:color w:val="auto"/>
          <w:spacing w:val="17"/>
          <w:sz w:val="36"/>
          <w:szCs w:val="36"/>
          <w:highlight w:val="none"/>
          <w14:textOutline w14:w="6527" w14:cap="flat" w14:cmpd="sng" w14:algn="ctr">
            <w14:solidFill>
              <w14:srgbClr w14:val="000000"/>
            </w14:solidFill>
            <w14:prstDash w14:val="solid"/>
            <w14:miter w14:val="0"/>
          </w14:textOutline>
        </w:rPr>
        <w:t>特殊资格材</w:t>
      </w:r>
      <w:r>
        <w:rPr>
          <w:rFonts w:hint="eastAsia" w:asciiTheme="majorEastAsia" w:hAnsiTheme="majorEastAsia" w:eastAsiaTheme="majorEastAsia" w:cstheme="majorEastAsia"/>
          <w:color w:val="auto"/>
          <w:spacing w:val="16"/>
          <w:sz w:val="36"/>
          <w:szCs w:val="36"/>
          <w:highlight w:val="none"/>
          <w14:textOutline w14:w="6527" w14:cap="flat" w14:cmpd="sng" w14:algn="ctr">
            <w14:solidFill>
              <w14:srgbClr w14:val="000000"/>
            </w14:solidFill>
            <w14:prstDash w14:val="solid"/>
            <w14:miter w14:val="0"/>
          </w14:textOutline>
        </w:rPr>
        <w:t>料（如有）</w:t>
      </w:r>
    </w:p>
    <w:p w14:paraId="43E14ED9">
      <w:pPr>
        <w:spacing w:before="17" w:line="360" w:lineRule="auto"/>
        <w:ind w:left="446"/>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pacing w:val="8"/>
          <w:szCs w:val="21"/>
          <w:highlight w:val="none"/>
        </w:rPr>
        <w:t>(格式</w:t>
      </w:r>
      <w:r>
        <w:rPr>
          <w:rFonts w:hint="eastAsia" w:asciiTheme="majorEastAsia" w:hAnsiTheme="majorEastAsia" w:eastAsiaTheme="majorEastAsia" w:cstheme="majorEastAsia"/>
          <w:color w:val="auto"/>
          <w:spacing w:val="4"/>
          <w:szCs w:val="21"/>
          <w:highlight w:val="none"/>
        </w:rPr>
        <w:t>自拟，复印或扫描件须加盖供应商公章)</w:t>
      </w:r>
    </w:p>
    <w:p w14:paraId="7D6B7C7C">
      <w:pPr>
        <w:pStyle w:val="2"/>
        <w:spacing w:line="360" w:lineRule="auto"/>
        <w:ind w:firstLine="0" w:firstLineChars="0"/>
        <w:rPr>
          <w:rFonts w:asciiTheme="majorEastAsia" w:hAnsiTheme="majorEastAsia" w:eastAsiaTheme="majorEastAsia" w:cstheme="majorEastAsia"/>
          <w:color w:val="auto"/>
          <w:highlight w:val="none"/>
        </w:rPr>
      </w:pPr>
    </w:p>
    <w:p w14:paraId="60961698">
      <w:pPr>
        <w:pStyle w:val="2"/>
        <w:spacing w:line="360" w:lineRule="auto"/>
        <w:ind w:firstLine="0" w:firstLineChars="0"/>
        <w:rPr>
          <w:rFonts w:asciiTheme="majorEastAsia" w:hAnsiTheme="majorEastAsia" w:eastAsiaTheme="majorEastAsia" w:cstheme="majorEastAsia"/>
          <w:color w:val="auto"/>
          <w:highlight w:val="none"/>
        </w:rPr>
      </w:pPr>
    </w:p>
    <w:p w14:paraId="3C672D35">
      <w:pPr>
        <w:pStyle w:val="2"/>
        <w:spacing w:line="360" w:lineRule="auto"/>
        <w:ind w:firstLine="0" w:firstLineChars="0"/>
        <w:rPr>
          <w:rFonts w:asciiTheme="majorEastAsia" w:hAnsiTheme="majorEastAsia" w:eastAsiaTheme="majorEastAsia" w:cstheme="majorEastAsia"/>
          <w:color w:val="auto"/>
          <w:highlight w:val="none"/>
        </w:rPr>
      </w:pPr>
    </w:p>
    <w:p w14:paraId="7B2FE0C5">
      <w:pPr>
        <w:pStyle w:val="2"/>
        <w:spacing w:line="360" w:lineRule="auto"/>
        <w:ind w:firstLine="0" w:firstLineChars="0"/>
        <w:rPr>
          <w:rFonts w:asciiTheme="majorEastAsia" w:hAnsiTheme="majorEastAsia" w:eastAsiaTheme="majorEastAsia" w:cstheme="majorEastAsia"/>
          <w:color w:val="auto"/>
          <w:highlight w:val="none"/>
        </w:rPr>
      </w:pPr>
    </w:p>
    <w:p w14:paraId="0E6ED145">
      <w:pPr>
        <w:pStyle w:val="2"/>
        <w:spacing w:line="360" w:lineRule="auto"/>
        <w:ind w:firstLine="0" w:firstLineChars="0"/>
        <w:rPr>
          <w:rFonts w:asciiTheme="majorEastAsia" w:hAnsiTheme="majorEastAsia" w:eastAsiaTheme="majorEastAsia" w:cstheme="majorEastAsia"/>
          <w:color w:val="auto"/>
          <w:highlight w:val="none"/>
        </w:rPr>
      </w:pPr>
    </w:p>
    <w:p w14:paraId="3C313A46">
      <w:pPr>
        <w:pStyle w:val="2"/>
        <w:spacing w:line="360" w:lineRule="auto"/>
        <w:ind w:firstLine="0" w:firstLineChars="0"/>
        <w:rPr>
          <w:rFonts w:asciiTheme="majorEastAsia" w:hAnsiTheme="majorEastAsia" w:eastAsiaTheme="majorEastAsia" w:cstheme="majorEastAsia"/>
          <w:color w:val="auto"/>
          <w:highlight w:val="none"/>
        </w:rPr>
      </w:pPr>
    </w:p>
    <w:p w14:paraId="1C7EB6A0">
      <w:pPr>
        <w:pStyle w:val="2"/>
        <w:spacing w:line="360" w:lineRule="auto"/>
        <w:ind w:firstLine="0" w:firstLineChars="0"/>
        <w:rPr>
          <w:rFonts w:asciiTheme="majorEastAsia" w:hAnsiTheme="majorEastAsia" w:eastAsiaTheme="majorEastAsia" w:cstheme="majorEastAsia"/>
          <w:color w:val="auto"/>
          <w:highlight w:val="none"/>
        </w:rPr>
      </w:pPr>
    </w:p>
    <w:p w14:paraId="71B4A27D">
      <w:pPr>
        <w:pStyle w:val="2"/>
        <w:spacing w:line="360" w:lineRule="auto"/>
        <w:ind w:firstLine="0" w:firstLineChars="0"/>
        <w:rPr>
          <w:rFonts w:asciiTheme="majorEastAsia" w:hAnsiTheme="majorEastAsia" w:eastAsiaTheme="majorEastAsia" w:cstheme="majorEastAsia"/>
          <w:color w:val="auto"/>
          <w:highlight w:val="none"/>
        </w:rPr>
      </w:pPr>
    </w:p>
    <w:p w14:paraId="5597305D">
      <w:pPr>
        <w:pStyle w:val="2"/>
        <w:spacing w:line="360" w:lineRule="auto"/>
        <w:ind w:firstLine="0" w:firstLineChars="0"/>
        <w:rPr>
          <w:rFonts w:asciiTheme="majorEastAsia" w:hAnsiTheme="majorEastAsia" w:eastAsiaTheme="majorEastAsia" w:cstheme="majorEastAsia"/>
          <w:color w:val="auto"/>
          <w:highlight w:val="none"/>
        </w:rPr>
      </w:pPr>
    </w:p>
    <w:p w14:paraId="42B408C9">
      <w:pPr>
        <w:pStyle w:val="2"/>
        <w:spacing w:line="360" w:lineRule="auto"/>
        <w:ind w:firstLine="0" w:firstLineChars="0"/>
        <w:rPr>
          <w:rFonts w:asciiTheme="majorEastAsia" w:hAnsiTheme="majorEastAsia" w:eastAsiaTheme="majorEastAsia" w:cstheme="majorEastAsia"/>
          <w:color w:val="auto"/>
          <w:highlight w:val="none"/>
        </w:rPr>
      </w:pPr>
    </w:p>
    <w:p w14:paraId="7525A0D5">
      <w:pPr>
        <w:pStyle w:val="2"/>
        <w:spacing w:line="360" w:lineRule="auto"/>
        <w:ind w:firstLine="0" w:firstLineChars="0"/>
        <w:rPr>
          <w:rFonts w:asciiTheme="majorEastAsia" w:hAnsiTheme="majorEastAsia" w:eastAsiaTheme="majorEastAsia" w:cstheme="majorEastAsia"/>
          <w:color w:val="auto"/>
          <w:highlight w:val="none"/>
        </w:rPr>
      </w:pPr>
    </w:p>
    <w:p w14:paraId="30FC8813">
      <w:pPr>
        <w:pStyle w:val="2"/>
        <w:spacing w:line="360" w:lineRule="auto"/>
        <w:ind w:firstLine="0" w:firstLineChars="0"/>
        <w:rPr>
          <w:rFonts w:asciiTheme="majorEastAsia" w:hAnsiTheme="majorEastAsia" w:eastAsiaTheme="majorEastAsia" w:cstheme="majorEastAsia"/>
          <w:color w:val="auto"/>
          <w:highlight w:val="none"/>
        </w:rPr>
      </w:pPr>
    </w:p>
    <w:p w14:paraId="75994B9D">
      <w:pPr>
        <w:pStyle w:val="2"/>
        <w:spacing w:line="360" w:lineRule="auto"/>
        <w:ind w:firstLine="0" w:firstLineChars="0"/>
        <w:rPr>
          <w:rFonts w:asciiTheme="majorEastAsia" w:hAnsiTheme="majorEastAsia" w:eastAsiaTheme="majorEastAsia" w:cstheme="majorEastAsia"/>
          <w:color w:val="auto"/>
          <w:highlight w:val="none"/>
        </w:rPr>
      </w:pPr>
    </w:p>
    <w:p w14:paraId="3CE2E1F6">
      <w:pPr>
        <w:pStyle w:val="8"/>
        <w:spacing w:line="360" w:lineRule="auto"/>
        <w:ind w:firstLine="568" w:firstLineChars="200"/>
        <w:jc w:val="center"/>
        <w:rPr>
          <w:rFonts w:asciiTheme="majorEastAsia" w:hAnsiTheme="majorEastAsia" w:eastAsiaTheme="majorEastAsia" w:cstheme="majorEastAsia"/>
          <w:color w:val="auto"/>
          <w:sz w:val="28"/>
          <w:highlight w:val="none"/>
        </w:rPr>
      </w:pPr>
      <w:r>
        <w:rPr>
          <w:rFonts w:hint="eastAsia" w:asciiTheme="majorEastAsia" w:hAnsiTheme="majorEastAsia" w:eastAsiaTheme="majorEastAsia" w:cstheme="majorEastAsia"/>
          <w:color w:val="auto"/>
          <w:sz w:val="28"/>
          <w:highlight w:val="none"/>
        </w:rPr>
        <w:t>五、投标保证金</w:t>
      </w:r>
    </w:p>
    <w:p w14:paraId="0DDE4595">
      <w:pPr>
        <w:spacing w:line="360" w:lineRule="auto"/>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银行转账：供应商在线交纳保证金后，可自行在系统中“保证金到帐查询及打印”一栏，打印保证金到帐信息回执。</w:t>
      </w:r>
    </w:p>
    <w:p w14:paraId="3ECD4BA3">
      <w:pPr>
        <w:spacing w:line="360" w:lineRule="auto"/>
        <w:rPr>
          <w:rFonts w:asciiTheme="majorEastAsia" w:hAnsiTheme="majorEastAsia" w:eastAsiaTheme="majorEastAsia" w:cstheme="majorEastAsia"/>
          <w:color w:val="auto"/>
          <w:sz w:val="24"/>
          <w:highlight w:val="none"/>
        </w:rPr>
      </w:pPr>
    </w:p>
    <w:p w14:paraId="6A1144B8">
      <w:pPr>
        <w:pStyle w:val="8"/>
        <w:spacing w:line="360" w:lineRule="auto"/>
        <w:ind w:firstLine="488" w:firstLineChars="200"/>
        <w:jc w:val="left"/>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银行保函、投标保证保险：原件扫描件或复印件加盖投标单位公章。</w:t>
      </w:r>
    </w:p>
    <w:p w14:paraId="1C2DEF18">
      <w:pPr>
        <w:pStyle w:val="8"/>
        <w:spacing w:line="360" w:lineRule="auto"/>
        <w:ind w:firstLine="488" w:firstLineChars="200"/>
        <w:jc w:val="left"/>
        <w:rPr>
          <w:rFonts w:asciiTheme="majorEastAsia" w:hAnsiTheme="majorEastAsia" w:eastAsiaTheme="majorEastAsia" w:cstheme="majorEastAsia"/>
          <w:color w:val="auto"/>
          <w:sz w:val="24"/>
          <w:highlight w:val="none"/>
        </w:rPr>
      </w:pPr>
    </w:p>
    <w:p w14:paraId="1089311C">
      <w:pPr>
        <w:pStyle w:val="8"/>
        <w:spacing w:line="360" w:lineRule="auto"/>
        <w:ind w:firstLine="488" w:firstLineChars="200"/>
        <w:jc w:val="left"/>
        <w:rPr>
          <w:rFonts w:asciiTheme="majorEastAsia" w:hAnsiTheme="majorEastAsia" w:eastAsiaTheme="majorEastAsia" w:cstheme="majorEastAsia"/>
          <w:color w:val="auto"/>
          <w:sz w:val="24"/>
          <w:highlight w:val="none"/>
        </w:rPr>
      </w:pPr>
    </w:p>
    <w:p w14:paraId="7264632F">
      <w:pPr>
        <w:pStyle w:val="8"/>
        <w:spacing w:line="360" w:lineRule="auto"/>
        <w:ind w:firstLine="488" w:firstLineChars="200"/>
        <w:jc w:val="left"/>
        <w:rPr>
          <w:rFonts w:asciiTheme="majorEastAsia" w:hAnsiTheme="majorEastAsia" w:eastAsiaTheme="majorEastAsia" w:cstheme="majorEastAsia"/>
          <w:color w:val="auto"/>
          <w:sz w:val="24"/>
          <w:highlight w:val="none"/>
        </w:rPr>
      </w:pPr>
    </w:p>
    <w:p w14:paraId="53BCEB1C">
      <w:pPr>
        <w:pStyle w:val="8"/>
        <w:spacing w:line="360" w:lineRule="auto"/>
        <w:ind w:firstLine="488" w:firstLineChars="200"/>
        <w:jc w:val="left"/>
        <w:rPr>
          <w:rFonts w:asciiTheme="majorEastAsia" w:hAnsiTheme="majorEastAsia" w:eastAsiaTheme="majorEastAsia" w:cstheme="majorEastAsia"/>
          <w:color w:val="auto"/>
          <w:sz w:val="24"/>
          <w:highlight w:val="none"/>
        </w:rPr>
      </w:pPr>
    </w:p>
    <w:p w14:paraId="017C2E6E">
      <w:pPr>
        <w:pStyle w:val="8"/>
        <w:spacing w:line="360" w:lineRule="auto"/>
        <w:ind w:firstLine="488" w:firstLineChars="200"/>
        <w:jc w:val="left"/>
        <w:rPr>
          <w:rFonts w:asciiTheme="majorEastAsia" w:hAnsiTheme="majorEastAsia" w:eastAsiaTheme="majorEastAsia" w:cstheme="majorEastAsia"/>
          <w:color w:val="auto"/>
          <w:sz w:val="24"/>
          <w:highlight w:val="none"/>
        </w:rPr>
      </w:pPr>
    </w:p>
    <w:p w14:paraId="6F48F26F">
      <w:pPr>
        <w:pStyle w:val="8"/>
        <w:spacing w:line="360" w:lineRule="auto"/>
        <w:ind w:firstLine="488" w:firstLineChars="200"/>
        <w:jc w:val="left"/>
        <w:rPr>
          <w:rFonts w:asciiTheme="majorEastAsia" w:hAnsiTheme="majorEastAsia" w:eastAsiaTheme="majorEastAsia" w:cstheme="majorEastAsia"/>
          <w:color w:val="auto"/>
          <w:sz w:val="24"/>
          <w:highlight w:val="none"/>
        </w:rPr>
      </w:pPr>
    </w:p>
    <w:p w14:paraId="551E6219">
      <w:pPr>
        <w:pStyle w:val="8"/>
        <w:spacing w:line="360" w:lineRule="auto"/>
        <w:ind w:firstLine="488" w:firstLineChars="200"/>
        <w:jc w:val="left"/>
        <w:rPr>
          <w:rFonts w:asciiTheme="majorEastAsia" w:hAnsiTheme="majorEastAsia" w:eastAsiaTheme="majorEastAsia" w:cstheme="majorEastAsia"/>
          <w:color w:val="auto"/>
          <w:sz w:val="24"/>
          <w:highlight w:val="none"/>
        </w:rPr>
      </w:pPr>
    </w:p>
    <w:p w14:paraId="177853E0">
      <w:pPr>
        <w:pStyle w:val="8"/>
        <w:spacing w:line="360" w:lineRule="auto"/>
        <w:ind w:firstLine="488" w:firstLineChars="200"/>
        <w:jc w:val="left"/>
        <w:rPr>
          <w:rFonts w:asciiTheme="majorEastAsia" w:hAnsiTheme="majorEastAsia" w:eastAsiaTheme="majorEastAsia" w:cstheme="majorEastAsia"/>
          <w:color w:val="auto"/>
          <w:sz w:val="24"/>
          <w:highlight w:val="none"/>
        </w:rPr>
      </w:pPr>
    </w:p>
    <w:p w14:paraId="546F9B37">
      <w:pPr>
        <w:pStyle w:val="8"/>
        <w:spacing w:line="360" w:lineRule="auto"/>
        <w:ind w:firstLine="488" w:firstLineChars="200"/>
        <w:jc w:val="left"/>
        <w:rPr>
          <w:rFonts w:asciiTheme="majorEastAsia" w:hAnsiTheme="majorEastAsia" w:eastAsiaTheme="majorEastAsia" w:cstheme="majorEastAsia"/>
          <w:color w:val="auto"/>
          <w:sz w:val="24"/>
          <w:highlight w:val="none"/>
        </w:rPr>
      </w:pPr>
    </w:p>
    <w:p w14:paraId="2139BF42">
      <w:pPr>
        <w:pStyle w:val="8"/>
        <w:spacing w:line="360" w:lineRule="auto"/>
        <w:ind w:firstLine="488" w:firstLineChars="200"/>
        <w:jc w:val="left"/>
        <w:rPr>
          <w:rFonts w:asciiTheme="majorEastAsia" w:hAnsiTheme="majorEastAsia" w:eastAsiaTheme="majorEastAsia" w:cstheme="majorEastAsia"/>
          <w:color w:val="auto"/>
          <w:sz w:val="24"/>
          <w:highlight w:val="none"/>
        </w:rPr>
      </w:pPr>
    </w:p>
    <w:p w14:paraId="33D8B5E4">
      <w:pPr>
        <w:pStyle w:val="8"/>
        <w:spacing w:line="360" w:lineRule="auto"/>
        <w:ind w:firstLine="488" w:firstLineChars="200"/>
        <w:jc w:val="left"/>
        <w:rPr>
          <w:rFonts w:asciiTheme="majorEastAsia" w:hAnsiTheme="majorEastAsia" w:eastAsiaTheme="majorEastAsia" w:cstheme="majorEastAsia"/>
          <w:color w:val="auto"/>
          <w:sz w:val="24"/>
          <w:highlight w:val="none"/>
        </w:rPr>
      </w:pPr>
    </w:p>
    <w:p w14:paraId="5CD45527">
      <w:pPr>
        <w:pStyle w:val="8"/>
        <w:spacing w:line="360" w:lineRule="auto"/>
        <w:ind w:firstLine="488" w:firstLineChars="200"/>
        <w:jc w:val="left"/>
        <w:rPr>
          <w:rFonts w:asciiTheme="majorEastAsia" w:hAnsiTheme="majorEastAsia" w:eastAsiaTheme="majorEastAsia" w:cstheme="majorEastAsia"/>
          <w:color w:val="auto"/>
          <w:sz w:val="24"/>
          <w:highlight w:val="none"/>
        </w:rPr>
      </w:pPr>
    </w:p>
    <w:p w14:paraId="071FA1B2">
      <w:pPr>
        <w:pStyle w:val="8"/>
        <w:spacing w:line="360" w:lineRule="auto"/>
        <w:ind w:firstLine="488" w:firstLineChars="200"/>
        <w:jc w:val="left"/>
        <w:rPr>
          <w:rFonts w:asciiTheme="majorEastAsia" w:hAnsiTheme="majorEastAsia" w:eastAsiaTheme="majorEastAsia" w:cstheme="majorEastAsia"/>
          <w:color w:val="auto"/>
          <w:sz w:val="24"/>
          <w:highlight w:val="none"/>
        </w:rPr>
      </w:pPr>
    </w:p>
    <w:p w14:paraId="0B14ECE0">
      <w:pPr>
        <w:pStyle w:val="8"/>
        <w:spacing w:line="360" w:lineRule="auto"/>
        <w:ind w:firstLine="488" w:firstLineChars="200"/>
        <w:jc w:val="left"/>
        <w:rPr>
          <w:rFonts w:asciiTheme="majorEastAsia" w:hAnsiTheme="majorEastAsia" w:eastAsiaTheme="majorEastAsia" w:cstheme="majorEastAsia"/>
          <w:color w:val="auto"/>
          <w:sz w:val="24"/>
          <w:highlight w:val="none"/>
        </w:rPr>
      </w:pPr>
    </w:p>
    <w:p w14:paraId="5B538D2F">
      <w:pPr>
        <w:pStyle w:val="8"/>
        <w:spacing w:line="360" w:lineRule="auto"/>
        <w:ind w:firstLine="488" w:firstLineChars="200"/>
        <w:jc w:val="left"/>
        <w:rPr>
          <w:rFonts w:asciiTheme="majorEastAsia" w:hAnsiTheme="majorEastAsia" w:eastAsiaTheme="majorEastAsia" w:cstheme="majorEastAsia"/>
          <w:color w:val="auto"/>
          <w:sz w:val="24"/>
          <w:highlight w:val="none"/>
        </w:rPr>
      </w:pPr>
    </w:p>
    <w:p w14:paraId="6905DA99">
      <w:pPr>
        <w:pStyle w:val="8"/>
        <w:spacing w:line="360" w:lineRule="auto"/>
        <w:ind w:firstLine="488" w:firstLineChars="200"/>
        <w:jc w:val="left"/>
        <w:rPr>
          <w:rFonts w:asciiTheme="majorEastAsia" w:hAnsiTheme="majorEastAsia" w:eastAsiaTheme="majorEastAsia" w:cstheme="majorEastAsia"/>
          <w:color w:val="auto"/>
          <w:sz w:val="24"/>
          <w:highlight w:val="none"/>
        </w:rPr>
      </w:pPr>
    </w:p>
    <w:p w14:paraId="43F35D69">
      <w:pPr>
        <w:pStyle w:val="8"/>
        <w:spacing w:line="360" w:lineRule="auto"/>
        <w:ind w:firstLine="488" w:firstLineChars="200"/>
        <w:jc w:val="left"/>
        <w:rPr>
          <w:rFonts w:asciiTheme="majorEastAsia" w:hAnsiTheme="majorEastAsia" w:eastAsiaTheme="majorEastAsia" w:cstheme="majorEastAsia"/>
          <w:color w:val="auto"/>
          <w:sz w:val="24"/>
          <w:highlight w:val="none"/>
        </w:rPr>
      </w:pPr>
    </w:p>
    <w:p w14:paraId="09804B1A">
      <w:pPr>
        <w:pStyle w:val="8"/>
        <w:spacing w:line="360" w:lineRule="auto"/>
        <w:ind w:firstLine="488" w:firstLineChars="200"/>
        <w:jc w:val="left"/>
        <w:rPr>
          <w:rFonts w:asciiTheme="majorEastAsia" w:hAnsiTheme="majorEastAsia" w:eastAsiaTheme="majorEastAsia" w:cstheme="majorEastAsia"/>
          <w:color w:val="auto"/>
          <w:sz w:val="24"/>
          <w:highlight w:val="none"/>
        </w:rPr>
      </w:pPr>
    </w:p>
    <w:p w14:paraId="3AE67F6A">
      <w:pPr>
        <w:pStyle w:val="8"/>
        <w:spacing w:line="360" w:lineRule="auto"/>
        <w:jc w:val="left"/>
        <w:rPr>
          <w:rFonts w:asciiTheme="majorEastAsia" w:hAnsiTheme="majorEastAsia" w:eastAsiaTheme="majorEastAsia" w:cstheme="majorEastAsia"/>
          <w:color w:val="auto"/>
          <w:sz w:val="24"/>
          <w:highlight w:val="none"/>
        </w:rPr>
      </w:pPr>
    </w:p>
    <w:p w14:paraId="1CDF19DB">
      <w:pPr>
        <w:spacing w:before="158" w:beforeLines="50" w:after="158" w:afterLines="50" w:line="360" w:lineRule="auto"/>
        <w:jc w:val="left"/>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b/>
          <w:bCs/>
          <w:color w:val="auto"/>
          <w:sz w:val="24"/>
          <w:highlight w:val="none"/>
        </w:rPr>
        <w:t>5.1银行保函承诺书</w:t>
      </w:r>
    </w:p>
    <w:p w14:paraId="476C894E">
      <w:pPr>
        <w:spacing w:line="360" w:lineRule="auto"/>
        <w:jc w:val="center"/>
        <w:rPr>
          <w:rFonts w:asciiTheme="majorEastAsia" w:hAnsiTheme="majorEastAsia" w:eastAsiaTheme="majorEastAsia" w:cstheme="majorEastAsia"/>
          <w:b/>
          <w:bCs/>
          <w:color w:val="auto"/>
          <w:sz w:val="36"/>
          <w:szCs w:val="36"/>
          <w:highlight w:val="none"/>
        </w:rPr>
      </w:pPr>
    </w:p>
    <w:p w14:paraId="1CA2F012">
      <w:pPr>
        <w:spacing w:line="360" w:lineRule="auto"/>
        <w:jc w:val="center"/>
        <w:rPr>
          <w:rFonts w:asciiTheme="majorEastAsia" w:hAnsiTheme="majorEastAsia" w:eastAsiaTheme="majorEastAsia" w:cstheme="majorEastAsia"/>
          <w:b/>
          <w:bCs/>
          <w:color w:val="auto"/>
          <w:sz w:val="24"/>
          <w:highlight w:val="none"/>
        </w:rPr>
      </w:pPr>
      <w:r>
        <w:rPr>
          <w:rFonts w:hint="eastAsia" w:asciiTheme="majorEastAsia" w:hAnsiTheme="majorEastAsia" w:eastAsiaTheme="majorEastAsia" w:cstheme="majorEastAsia"/>
          <w:b/>
          <w:bCs/>
          <w:color w:val="auto"/>
          <w:sz w:val="36"/>
          <w:szCs w:val="36"/>
          <w:highlight w:val="none"/>
        </w:rPr>
        <w:t>银行保函承诺书</w:t>
      </w:r>
    </w:p>
    <w:p w14:paraId="432E4B2A">
      <w:pPr>
        <w:spacing w:line="360" w:lineRule="auto"/>
        <w:ind w:firstLine="488" w:firstLineChars="200"/>
        <w:jc w:val="left"/>
        <w:rPr>
          <w:rFonts w:asciiTheme="majorEastAsia" w:hAnsiTheme="majorEastAsia" w:eastAsiaTheme="majorEastAsia" w:cstheme="majorEastAsia"/>
          <w:color w:val="auto"/>
          <w:sz w:val="24"/>
          <w:highlight w:val="none"/>
        </w:rPr>
      </w:pPr>
    </w:p>
    <w:p w14:paraId="5C23167F">
      <w:pPr>
        <w:spacing w:line="360" w:lineRule="auto"/>
        <w:rPr>
          <w:rFonts w:asciiTheme="majorEastAsia" w:hAnsiTheme="majorEastAsia" w:eastAsiaTheme="majorEastAsia" w:cstheme="majorEastAsia"/>
          <w:color w:val="auto"/>
          <w:sz w:val="24"/>
          <w:highlight w:val="none"/>
          <w:u w:val="single"/>
        </w:rPr>
      </w:pPr>
      <w:r>
        <w:rPr>
          <w:rFonts w:hint="eastAsia" w:asciiTheme="majorEastAsia" w:hAnsiTheme="majorEastAsia" w:eastAsiaTheme="majorEastAsia" w:cstheme="majorEastAsia"/>
          <w:color w:val="auto"/>
          <w:sz w:val="24"/>
          <w:highlight w:val="none"/>
        </w:rPr>
        <w:t>致：</w:t>
      </w:r>
      <w:r>
        <w:rPr>
          <w:rFonts w:hint="eastAsia" w:asciiTheme="majorEastAsia" w:hAnsiTheme="majorEastAsia" w:eastAsiaTheme="majorEastAsia" w:cstheme="majorEastAsia"/>
          <w:color w:val="auto"/>
          <w:sz w:val="24"/>
          <w:highlight w:val="none"/>
          <w:u w:val="single"/>
        </w:rPr>
        <w:t xml:space="preserve">   （采购人或采购代理机构）     </w:t>
      </w:r>
    </w:p>
    <w:p w14:paraId="740BC5D7">
      <w:pPr>
        <w:spacing w:line="360" w:lineRule="auto"/>
        <w:ind w:firstLine="488" w:firstLineChars="200"/>
        <w:jc w:val="left"/>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u w:val="single"/>
        </w:rPr>
        <w:t xml:space="preserve">      （供应商全称）            </w:t>
      </w:r>
      <w:r>
        <w:rPr>
          <w:rFonts w:hint="eastAsia" w:asciiTheme="majorEastAsia" w:hAnsiTheme="majorEastAsia" w:eastAsiaTheme="majorEastAsia" w:cstheme="majorEastAsia"/>
          <w:color w:val="auto"/>
          <w:sz w:val="24"/>
          <w:highlight w:val="none"/>
        </w:rPr>
        <w:t>参加贵单位组织的项目编号为：</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，项目名称：</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的政府采购活动，在此郑重承诺提供的银行保函，保单号：</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为真实有效，如提供虚假、失实的材料，自愿取消其投标资格，并自愿承担由此造成的一切法律责任及后果。</w:t>
      </w:r>
    </w:p>
    <w:p w14:paraId="4F6A877B">
      <w:pPr>
        <w:spacing w:line="360" w:lineRule="auto"/>
        <w:ind w:firstLine="488" w:firstLineChars="20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同时我单位郑重承诺出现违反法律法规规定或采购文件中约定保证金不予退还情况的，若银行保函失效，我单位自收到采购人保证金不予退还相关函件之日起5个工作日内将本项目等额保证金支付给采购人。</w:t>
      </w:r>
    </w:p>
    <w:p w14:paraId="1395CA9B">
      <w:pPr>
        <w:spacing w:line="360" w:lineRule="auto"/>
        <w:ind w:firstLine="488" w:firstLineChars="200"/>
        <w:rPr>
          <w:rFonts w:asciiTheme="majorEastAsia" w:hAnsiTheme="majorEastAsia" w:eastAsiaTheme="majorEastAsia" w:cstheme="majorEastAsia"/>
          <w:color w:val="auto"/>
          <w:sz w:val="24"/>
          <w:highlight w:val="none"/>
        </w:rPr>
      </w:pPr>
    </w:p>
    <w:p w14:paraId="4B5DF42D">
      <w:pPr>
        <w:pStyle w:val="18"/>
        <w:shd w:val="clear" w:color="auto" w:fill="FFFFFF"/>
        <w:ind w:firstLine="5002" w:firstLineChars="2050"/>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承诺单位（公章）：</w:t>
      </w:r>
    </w:p>
    <w:p w14:paraId="15D1C7DD">
      <w:pPr>
        <w:pStyle w:val="8"/>
        <w:spacing w:line="360" w:lineRule="auto"/>
        <w:ind w:firstLine="488" w:firstLineChars="200"/>
        <w:jc w:val="left"/>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签署日期：   年   月  日</w:t>
      </w:r>
    </w:p>
    <w:p w14:paraId="4E9F8AC2">
      <w:pPr>
        <w:pStyle w:val="8"/>
        <w:spacing w:line="360" w:lineRule="auto"/>
        <w:ind w:firstLine="488" w:firstLineChars="200"/>
        <w:jc w:val="left"/>
        <w:rPr>
          <w:rFonts w:asciiTheme="majorEastAsia" w:hAnsiTheme="majorEastAsia" w:eastAsiaTheme="majorEastAsia" w:cstheme="majorEastAsia"/>
          <w:color w:val="auto"/>
          <w:sz w:val="24"/>
          <w:highlight w:val="none"/>
        </w:rPr>
      </w:pPr>
    </w:p>
    <w:p w14:paraId="3201137F">
      <w:pPr>
        <w:pStyle w:val="8"/>
        <w:spacing w:line="360" w:lineRule="auto"/>
        <w:ind w:firstLine="488" w:firstLineChars="200"/>
        <w:jc w:val="left"/>
        <w:rPr>
          <w:rFonts w:asciiTheme="majorEastAsia" w:hAnsiTheme="majorEastAsia" w:eastAsiaTheme="majorEastAsia" w:cstheme="majorEastAsia"/>
          <w:color w:val="auto"/>
          <w:sz w:val="24"/>
          <w:highlight w:val="none"/>
        </w:rPr>
      </w:pPr>
    </w:p>
    <w:p w14:paraId="1390DF07">
      <w:pPr>
        <w:pStyle w:val="8"/>
        <w:spacing w:line="360" w:lineRule="auto"/>
        <w:ind w:firstLine="488" w:firstLineChars="200"/>
        <w:jc w:val="left"/>
        <w:rPr>
          <w:rFonts w:asciiTheme="majorEastAsia" w:hAnsiTheme="majorEastAsia" w:eastAsiaTheme="majorEastAsia" w:cstheme="majorEastAsia"/>
          <w:color w:val="auto"/>
          <w:sz w:val="24"/>
          <w:highlight w:val="none"/>
        </w:rPr>
      </w:pPr>
    </w:p>
    <w:p w14:paraId="3C27174B">
      <w:pPr>
        <w:pStyle w:val="8"/>
        <w:spacing w:line="360" w:lineRule="auto"/>
        <w:ind w:firstLine="488" w:firstLineChars="200"/>
        <w:jc w:val="left"/>
        <w:rPr>
          <w:rFonts w:asciiTheme="majorEastAsia" w:hAnsiTheme="majorEastAsia" w:eastAsiaTheme="majorEastAsia" w:cstheme="majorEastAsia"/>
          <w:color w:val="auto"/>
          <w:sz w:val="24"/>
          <w:highlight w:val="none"/>
        </w:rPr>
      </w:pPr>
    </w:p>
    <w:p w14:paraId="08077061">
      <w:pPr>
        <w:pStyle w:val="8"/>
        <w:spacing w:line="360" w:lineRule="auto"/>
        <w:ind w:firstLine="488" w:firstLineChars="200"/>
        <w:jc w:val="left"/>
        <w:rPr>
          <w:rFonts w:asciiTheme="majorEastAsia" w:hAnsiTheme="majorEastAsia" w:eastAsiaTheme="majorEastAsia" w:cstheme="majorEastAsia"/>
          <w:color w:val="auto"/>
          <w:sz w:val="24"/>
          <w:highlight w:val="none"/>
        </w:rPr>
      </w:pPr>
    </w:p>
    <w:p w14:paraId="5BDDFC58">
      <w:pPr>
        <w:pStyle w:val="8"/>
        <w:spacing w:line="360" w:lineRule="auto"/>
        <w:ind w:firstLine="488" w:firstLineChars="200"/>
        <w:jc w:val="left"/>
        <w:rPr>
          <w:rFonts w:asciiTheme="majorEastAsia" w:hAnsiTheme="majorEastAsia" w:eastAsiaTheme="majorEastAsia" w:cstheme="majorEastAsia"/>
          <w:color w:val="auto"/>
          <w:sz w:val="24"/>
          <w:highlight w:val="none"/>
        </w:rPr>
      </w:pPr>
    </w:p>
    <w:p w14:paraId="295E9C5F">
      <w:pPr>
        <w:pStyle w:val="8"/>
        <w:spacing w:line="360" w:lineRule="auto"/>
        <w:ind w:firstLine="488" w:firstLineChars="200"/>
        <w:jc w:val="left"/>
        <w:rPr>
          <w:rFonts w:asciiTheme="majorEastAsia" w:hAnsiTheme="majorEastAsia" w:eastAsiaTheme="majorEastAsia" w:cstheme="majorEastAsia"/>
          <w:color w:val="auto"/>
          <w:sz w:val="24"/>
          <w:highlight w:val="none"/>
        </w:rPr>
      </w:pPr>
    </w:p>
    <w:p w14:paraId="75C5AE53">
      <w:pPr>
        <w:pStyle w:val="8"/>
        <w:spacing w:line="360" w:lineRule="auto"/>
        <w:ind w:firstLine="488" w:firstLineChars="200"/>
        <w:jc w:val="left"/>
        <w:rPr>
          <w:rFonts w:asciiTheme="majorEastAsia" w:hAnsiTheme="majorEastAsia" w:eastAsiaTheme="majorEastAsia" w:cstheme="majorEastAsia"/>
          <w:color w:val="auto"/>
          <w:sz w:val="24"/>
          <w:highlight w:val="none"/>
        </w:rPr>
      </w:pPr>
    </w:p>
    <w:p w14:paraId="0DAB9DD2">
      <w:pPr>
        <w:pStyle w:val="8"/>
        <w:spacing w:line="360" w:lineRule="auto"/>
        <w:ind w:firstLine="488" w:firstLineChars="200"/>
        <w:jc w:val="left"/>
        <w:rPr>
          <w:rFonts w:asciiTheme="majorEastAsia" w:hAnsiTheme="majorEastAsia" w:eastAsiaTheme="majorEastAsia" w:cstheme="majorEastAsia"/>
          <w:color w:val="auto"/>
          <w:sz w:val="24"/>
          <w:highlight w:val="none"/>
        </w:rPr>
      </w:pPr>
    </w:p>
    <w:p w14:paraId="1EF5BB3A">
      <w:pPr>
        <w:pStyle w:val="8"/>
        <w:spacing w:line="360" w:lineRule="auto"/>
        <w:jc w:val="left"/>
        <w:rPr>
          <w:rFonts w:asciiTheme="majorEastAsia" w:hAnsiTheme="majorEastAsia" w:eastAsiaTheme="majorEastAsia" w:cstheme="majorEastAsia"/>
          <w:color w:val="auto"/>
          <w:sz w:val="24"/>
          <w:highlight w:val="none"/>
        </w:rPr>
      </w:pPr>
    </w:p>
    <w:p w14:paraId="4EF2FDAC">
      <w:pPr>
        <w:spacing w:line="360" w:lineRule="auto"/>
        <w:jc w:val="left"/>
        <w:rPr>
          <w:rFonts w:asciiTheme="majorEastAsia" w:hAnsiTheme="majorEastAsia" w:eastAsiaTheme="majorEastAsia" w:cstheme="majorEastAsia"/>
          <w:b/>
          <w:bCs/>
          <w:color w:val="auto"/>
          <w:sz w:val="24"/>
          <w:highlight w:val="none"/>
        </w:rPr>
      </w:pPr>
      <w:r>
        <w:rPr>
          <w:rFonts w:hint="eastAsia" w:asciiTheme="majorEastAsia" w:hAnsiTheme="majorEastAsia" w:eastAsiaTheme="majorEastAsia" w:cstheme="majorEastAsia"/>
          <w:b/>
          <w:bCs/>
          <w:color w:val="auto"/>
          <w:sz w:val="24"/>
          <w:highlight w:val="none"/>
        </w:rPr>
        <w:t>5.2投标保证保险承诺书</w:t>
      </w:r>
    </w:p>
    <w:p w14:paraId="61B98A48">
      <w:pPr>
        <w:spacing w:line="360" w:lineRule="auto"/>
        <w:jc w:val="center"/>
        <w:rPr>
          <w:rFonts w:asciiTheme="majorEastAsia" w:hAnsiTheme="majorEastAsia" w:eastAsiaTheme="majorEastAsia" w:cstheme="majorEastAsia"/>
          <w:b/>
          <w:bCs/>
          <w:color w:val="auto"/>
          <w:sz w:val="24"/>
          <w:highlight w:val="none"/>
        </w:rPr>
      </w:pPr>
    </w:p>
    <w:p w14:paraId="236B102C">
      <w:pPr>
        <w:spacing w:line="360" w:lineRule="auto"/>
        <w:jc w:val="center"/>
        <w:rPr>
          <w:rFonts w:asciiTheme="majorEastAsia" w:hAnsiTheme="majorEastAsia" w:eastAsiaTheme="majorEastAsia" w:cstheme="majorEastAsia"/>
          <w:b/>
          <w:bCs/>
          <w:color w:val="auto"/>
          <w:sz w:val="36"/>
          <w:szCs w:val="36"/>
          <w:highlight w:val="none"/>
        </w:rPr>
      </w:pPr>
      <w:r>
        <w:rPr>
          <w:rFonts w:hint="eastAsia" w:asciiTheme="majorEastAsia" w:hAnsiTheme="majorEastAsia" w:eastAsiaTheme="majorEastAsia" w:cstheme="majorEastAsia"/>
          <w:b/>
          <w:bCs/>
          <w:color w:val="auto"/>
          <w:sz w:val="36"/>
          <w:szCs w:val="36"/>
          <w:highlight w:val="none"/>
        </w:rPr>
        <w:t>投标保证保险承诺书</w:t>
      </w:r>
    </w:p>
    <w:p w14:paraId="1166122D">
      <w:pPr>
        <w:spacing w:line="360" w:lineRule="auto"/>
        <w:ind w:firstLine="488" w:firstLineChars="200"/>
        <w:jc w:val="left"/>
        <w:rPr>
          <w:rFonts w:asciiTheme="majorEastAsia" w:hAnsiTheme="majorEastAsia" w:eastAsiaTheme="majorEastAsia" w:cstheme="majorEastAsia"/>
          <w:color w:val="auto"/>
          <w:sz w:val="24"/>
          <w:highlight w:val="none"/>
        </w:rPr>
      </w:pPr>
    </w:p>
    <w:p w14:paraId="34CB0C47">
      <w:pPr>
        <w:spacing w:line="360" w:lineRule="auto"/>
        <w:rPr>
          <w:rFonts w:asciiTheme="majorEastAsia" w:hAnsiTheme="majorEastAsia" w:eastAsiaTheme="majorEastAsia" w:cstheme="majorEastAsia"/>
          <w:color w:val="auto"/>
          <w:sz w:val="24"/>
          <w:highlight w:val="none"/>
          <w:u w:val="single"/>
        </w:rPr>
      </w:pPr>
      <w:r>
        <w:rPr>
          <w:rFonts w:hint="eastAsia" w:asciiTheme="majorEastAsia" w:hAnsiTheme="majorEastAsia" w:eastAsiaTheme="majorEastAsia" w:cstheme="majorEastAsia"/>
          <w:color w:val="auto"/>
          <w:sz w:val="24"/>
          <w:highlight w:val="none"/>
        </w:rPr>
        <w:t>致：</w:t>
      </w:r>
      <w:r>
        <w:rPr>
          <w:rFonts w:hint="eastAsia" w:asciiTheme="majorEastAsia" w:hAnsiTheme="majorEastAsia" w:eastAsiaTheme="majorEastAsia" w:cstheme="majorEastAsia"/>
          <w:color w:val="auto"/>
          <w:sz w:val="24"/>
          <w:highlight w:val="none"/>
          <w:u w:val="single"/>
        </w:rPr>
        <w:t xml:space="preserve">   （采购人或采购代理机构）     </w:t>
      </w:r>
    </w:p>
    <w:p w14:paraId="72A84E95">
      <w:pPr>
        <w:spacing w:line="360" w:lineRule="auto"/>
        <w:ind w:firstLine="488" w:firstLineChars="200"/>
        <w:jc w:val="left"/>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u w:val="single"/>
        </w:rPr>
        <w:t xml:space="preserve">      （供应商全称）            </w:t>
      </w:r>
      <w:r>
        <w:rPr>
          <w:rFonts w:hint="eastAsia" w:asciiTheme="majorEastAsia" w:hAnsiTheme="majorEastAsia" w:eastAsiaTheme="majorEastAsia" w:cstheme="majorEastAsia"/>
          <w:color w:val="auto"/>
          <w:sz w:val="24"/>
          <w:highlight w:val="none"/>
        </w:rPr>
        <w:t>参加贵单位组织的项目编号为：</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，项目名称：</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的政府采购活动，在此郑重承诺提供的</w:t>
      </w:r>
      <w:r>
        <w:rPr>
          <w:rFonts w:hint="eastAsia" w:asciiTheme="majorEastAsia" w:hAnsiTheme="majorEastAsia" w:eastAsiaTheme="majorEastAsia" w:cstheme="majorEastAsia"/>
          <w:b/>
          <w:bCs/>
          <w:color w:val="auto"/>
          <w:sz w:val="24"/>
          <w:highlight w:val="none"/>
        </w:rPr>
        <w:t>投标保证保险</w:t>
      </w:r>
      <w:r>
        <w:rPr>
          <w:rFonts w:hint="eastAsia" w:asciiTheme="majorEastAsia" w:hAnsiTheme="majorEastAsia" w:eastAsiaTheme="majorEastAsia" w:cstheme="majorEastAsia"/>
          <w:color w:val="auto"/>
          <w:sz w:val="24"/>
          <w:highlight w:val="none"/>
        </w:rPr>
        <w:t>保单或合同，保单或合同号：为真实有效，如提供虚假、失实的材料，自愿取消其投标资格，并自愿承担由此造成的一切法律责任及后果。</w:t>
      </w:r>
    </w:p>
    <w:p w14:paraId="32B36D63">
      <w:pPr>
        <w:spacing w:line="360" w:lineRule="auto"/>
        <w:ind w:firstLine="488" w:firstLineChars="20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同时我单位郑重承诺出现违反法律法规规定或采购文件中约定保证金不予退还情况的，若投标保证保险失效，我单位自收到采购人保证金不予退还相关函件之日起5个工作日内将本项目等额保证金支付给采购人。</w:t>
      </w:r>
    </w:p>
    <w:p w14:paraId="44AD0569">
      <w:pPr>
        <w:spacing w:line="360" w:lineRule="auto"/>
        <w:ind w:firstLine="488" w:firstLineChars="200"/>
        <w:rPr>
          <w:rFonts w:asciiTheme="majorEastAsia" w:hAnsiTheme="majorEastAsia" w:eastAsiaTheme="majorEastAsia" w:cstheme="majorEastAsia"/>
          <w:color w:val="auto"/>
          <w:sz w:val="24"/>
          <w:highlight w:val="none"/>
        </w:rPr>
      </w:pPr>
    </w:p>
    <w:p w14:paraId="3DFCCDD1">
      <w:pPr>
        <w:spacing w:line="360" w:lineRule="auto"/>
        <w:ind w:firstLine="488" w:firstLineChars="200"/>
        <w:rPr>
          <w:rFonts w:asciiTheme="majorEastAsia" w:hAnsiTheme="majorEastAsia" w:eastAsiaTheme="majorEastAsia" w:cstheme="majorEastAsia"/>
          <w:color w:val="auto"/>
          <w:sz w:val="24"/>
          <w:highlight w:val="none"/>
        </w:rPr>
      </w:pPr>
    </w:p>
    <w:p w14:paraId="07527816">
      <w:pPr>
        <w:spacing w:line="360" w:lineRule="auto"/>
        <w:rPr>
          <w:rFonts w:asciiTheme="majorEastAsia" w:hAnsiTheme="majorEastAsia" w:eastAsiaTheme="majorEastAsia" w:cstheme="majorEastAsia"/>
          <w:color w:val="auto"/>
          <w:sz w:val="24"/>
          <w:highlight w:val="none"/>
        </w:rPr>
      </w:pPr>
    </w:p>
    <w:p w14:paraId="1A39495D">
      <w:pPr>
        <w:pStyle w:val="18"/>
        <w:shd w:val="clear" w:color="auto" w:fill="FFFFFF"/>
        <w:ind w:firstLine="6222" w:firstLineChars="2550"/>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承诺单位（公章）：</w:t>
      </w:r>
    </w:p>
    <w:p w14:paraId="5B30E3C4">
      <w:pPr>
        <w:pStyle w:val="8"/>
        <w:spacing w:line="360" w:lineRule="auto"/>
        <w:ind w:firstLine="488" w:firstLineChars="200"/>
        <w:jc w:val="left"/>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签署日期：   年   月  日</w:t>
      </w:r>
    </w:p>
    <w:p w14:paraId="23EA50A7">
      <w:pPr>
        <w:pStyle w:val="8"/>
        <w:spacing w:line="360" w:lineRule="auto"/>
        <w:ind w:firstLine="488" w:firstLineChars="200"/>
        <w:jc w:val="left"/>
        <w:rPr>
          <w:rFonts w:asciiTheme="majorEastAsia" w:hAnsiTheme="majorEastAsia" w:eastAsiaTheme="majorEastAsia" w:cstheme="majorEastAsia"/>
          <w:color w:val="auto"/>
          <w:sz w:val="24"/>
          <w:highlight w:val="none"/>
        </w:rPr>
      </w:pPr>
    </w:p>
    <w:p w14:paraId="44B03DFB">
      <w:pPr>
        <w:pStyle w:val="8"/>
        <w:spacing w:line="360" w:lineRule="auto"/>
        <w:ind w:firstLine="488" w:firstLineChars="200"/>
        <w:jc w:val="left"/>
        <w:rPr>
          <w:rFonts w:asciiTheme="majorEastAsia" w:hAnsiTheme="majorEastAsia" w:eastAsiaTheme="majorEastAsia" w:cstheme="majorEastAsia"/>
          <w:color w:val="auto"/>
          <w:sz w:val="24"/>
          <w:highlight w:val="none"/>
        </w:rPr>
      </w:pPr>
    </w:p>
    <w:p w14:paraId="75064947">
      <w:pPr>
        <w:pStyle w:val="8"/>
        <w:spacing w:line="360" w:lineRule="auto"/>
        <w:ind w:firstLine="488" w:firstLineChars="200"/>
        <w:jc w:val="left"/>
        <w:rPr>
          <w:rFonts w:asciiTheme="majorEastAsia" w:hAnsiTheme="majorEastAsia" w:eastAsiaTheme="majorEastAsia" w:cstheme="majorEastAsia"/>
          <w:color w:val="auto"/>
          <w:sz w:val="24"/>
          <w:highlight w:val="none"/>
        </w:rPr>
      </w:pPr>
    </w:p>
    <w:p w14:paraId="37CF66D6">
      <w:pPr>
        <w:pStyle w:val="8"/>
        <w:spacing w:line="360" w:lineRule="auto"/>
        <w:ind w:firstLine="488" w:firstLineChars="200"/>
        <w:jc w:val="left"/>
        <w:rPr>
          <w:rFonts w:asciiTheme="majorEastAsia" w:hAnsiTheme="majorEastAsia" w:eastAsiaTheme="majorEastAsia" w:cstheme="majorEastAsia"/>
          <w:color w:val="auto"/>
          <w:sz w:val="24"/>
          <w:highlight w:val="none"/>
        </w:rPr>
      </w:pPr>
    </w:p>
    <w:p w14:paraId="092FE1DE">
      <w:pPr>
        <w:pStyle w:val="8"/>
        <w:spacing w:line="360" w:lineRule="auto"/>
        <w:ind w:firstLine="488" w:firstLineChars="200"/>
        <w:jc w:val="left"/>
        <w:rPr>
          <w:rFonts w:asciiTheme="majorEastAsia" w:hAnsiTheme="majorEastAsia" w:eastAsiaTheme="majorEastAsia" w:cstheme="majorEastAsia"/>
          <w:color w:val="auto"/>
          <w:sz w:val="24"/>
          <w:highlight w:val="none"/>
        </w:rPr>
      </w:pPr>
    </w:p>
    <w:p w14:paraId="139D2DE0">
      <w:pPr>
        <w:pStyle w:val="8"/>
        <w:spacing w:line="360" w:lineRule="auto"/>
        <w:ind w:firstLine="488" w:firstLineChars="200"/>
        <w:jc w:val="left"/>
        <w:rPr>
          <w:rFonts w:asciiTheme="majorEastAsia" w:hAnsiTheme="majorEastAsia" w:eastAsiaTheme="majorEastAsia" w:cstheme="majorEastAsia"/>
          <w:color w:val="auto"/>
          <w:sz w:val="24"/>
          <w:highlight w:val="none"/>
        </w:rPr>
      </w:pPr>
    </w:p>
    <w:p w14:paraId="37BFAB91">
      <w:pPr>
        <w:pStyle w:val="2"/>
        <w:ind w:firstLine="0" w:firstLineChars="0"/>
        <w:rPr>
          <w:rFonts w:asciiTheme="majorEastAsia" w:hAnsiTheme="majorEastAsia" w:eastAsiaTheme="majorEastAsia" w:cstheme="majorEastAsia"/>
          <w:color w:val="auto"/>
          <w:kern w:val="0"/>
          <w:szCs w:val="21"/>
          <w:highlight w:val="none"/>
        </w:rPr>
      </w:pPr>
    </w:p>
    <w:p w14:paraId="668C338D">
      <w:pPr>
        <w:pStyle w:val="2"/>
        <w:spacing w:line="360" w:lineRule="auto"/>
        <w:ind w:firstLine="571"/>
        <w:jc w:val="center"/>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kern w:val="0"/>
          <w:szCs w:val="21"/>
          <w:highlight w:val="none"/>
        </w:rPr>
        <w:t>六、</w:t>
      </w:r>
      <w:r>
        <w:rPr>
          <w:rFonts w:hint="eastAsia" w:asciiTheme="majorEastAsia" w:hAnsiTheme="majorEastAsia" w:eastAsiaTheme="majorEastAsia" w:cstheme="majorEastAsia"/>
          <w:color w:val="auto"/>
          <w:sz w:val="24"/>
          <w:highlight w:val="none"/>
          <w:lang w:val="zh-CN"/>
        </w:rPr>
        <w:t>政府采购投标供应商实质性响应符合审查表</w:t>
      </w:r>
    </w:p>
    <w:p w14:paraId="3AA7D50C">
      <w:pPr>
        <w:spacing w:line="360" w:lineRule="auto"/>
        <w:jc w:val="left"/>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项目编号：           项目名称：                序列号：</w:t>
      </w:r>
    </w:p>
    <w:tbl>
      <w:tblPr>
        <w:tblStyle w:val="35"/>
        <w:tblpPr w:leftFromText="180" w:rightFromText="180" w:vertAnchor="text" w:horzAnchor="page" w:tblpX="495" w:tblpY="439"/>
        <w:tblOverlap w:val="never"/>
        <w:tblW w:w="10701"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93"/>
        <w:gridCol w:w="1111"/>
        <w:gridCol w:w="389"/>
        <w:gridCol w:w="3151"/>
        <w:gridCol w:w="3994"/>
        <w:gridCol w:w="1363"/>
      </w:tblGrid>
      <w:tr w14:paraId="3C3F51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1804" w:type="dxa"/>
            <w:gridSpan w:val="2"/>
          </w:tcPr>
          <w:p w14:paraId="001A1E43">
            <w:pPr>
              <w:spacing w:before="59" w:line="360" w:lineRule="auto"/>
              <w:ind w:left="126"/>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pacing w:val="-2"/>
                <w:sz w:val="24"/>
                <w:highlight w:val="none"/>
              </w:rPr>
              <w:t>供应商</w:t>
            </w:r>
            <w:r>
              <w:rPr>
                <w:rFonts w:hint="eastAsia" w:asciiTheme="majorEastAsia" w:hAnsiTheme="majorEastAsia" w:eastAsiaTheme="majorEastAsia" w:cstheme="majorEastAsia"/>
                <w:color w:val="auto"/>
                <w:spacing w:val="-1"/>
                <w:sz w:val="24"/>
                <w:highlight w:val="none"/>
              </w:rPr>
              <w:t>名称</w:t>
            </w:r>
          </w:p>
        </w:tc>
        <w:tc>
          <w:tcPr>
            <w:tcW w:w="8897" w:type="dxa"/>
            <w:gridSpan w:val="4"/>
          </w:tcPr>
          <w:p w14:paraId="671A53C3">
            <w:pPr>
              <w:spacing w:line="360" w:lineRule="auto"/>
              <w:rPr>
                <w:rFonts w:asciiTheme="majorEastAsia" w:hAnsiTheme="majorEastAsia" w:eastAsiaTheme="majorEastAsia" w:cstheme="majorEastAsia"/>
                <w:color w:val="auto"/>
                <w:highlight w:val="none"/>
              </w:rPr>
            </w:pPr>
          </w:p>
        </w:tc>
      </w:tr>
      <w:tr w14:paraId="222BAA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8" w:hRule="atLeast"/>
        </w:trPr>
        <w:tc>
          <w:tcPr>
            <w:tcW w:w="10701" w:type="dxa"/>
            <w:gridSpan w:val="6"/>
          </w:tcPr>
          <w:p w14:paraId="554DC28C">
            <w:pPr>
              <w:spacing w:before="33" w:line="360" w:lineRule="auto"/>
              <w:ind w:left="4213"/>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pacing w:val="-1"/>
                <w:sz w:val="24"/>
                <w:highlight w:val="none"/>
              </w:rPr>
              <w:t>*商务部分实质性审</w:t>
            </w:r>
            <w:r>
              <w:rPr>
                <w:rFonts w:hint="eastAsia" w:asciiTheme="majorEastAsia" w:hAnsiTheme="majorEastAsia" w:eastAsiaTheme="majorEastAsia" w:cstheme="majorEastAsia"/>
                <w:color w:val="auto"/>
                <w:sz w:val="24"/>
                <w:highlight w:val="none"/>
              </w:rPr>
              <w:t>查</w:t>
            </w:r>
          </w:p>
        </w:tc>
      </w:tr>
      <w:tr w14:paraId="21A8AE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693" w:type="dxa"/>
            <w:textDirection w:val="tbRlV"/>
          </w:tcPr>
          <w:p w14:paraId="30C8C741">
            <w:pPr>
              <w:spacing w:before="220" w:line="360" w:lineRule="auto"/>
              <w:ind w:left="34"/>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pacing w:val="-16"/>
                <w:sz w:val="24"/>
                <w:highlight w:val="none"/>
              </w:rPr>
              <w:t>序 号</w:t>
            </w:r>
          </w:p>
        </w:tc>
        <w:tc>
          <w:tcPr>
            <w:tcW w:w="1500" w:type="dxa"/>
            <w:gridSpan w:val="2"/>
          </w:tcPr>
          <w:p w14:paraId="0A35D911">
            <w:pPr>
              <w:spacing w:before="35" w:line="360" w:lineRule="auto"/>
              <w:ind w:left="542" w:right="150" w:hanging="383"/>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pacing w:val="-4"/>
                <w:sz w:val="24"/>
                <w:highlight w:val="none"/>
              </w:rPr>
              <w:t>实</w:t>
            </w:r>
            <w:r>
              <w:rPr>
                <w:rFonts w:hint="eastAsia" w:asciiTheme="majorEastAsia" w:hAnsiTheme="majorEastAsia" w:eastAsiaTheme="majorEastAsia" w:cstheme="majorEastAsia"/>
                <w:color w:val="auto"/>
                <w:spacing w:val="-3"/>
                <w:sz w:val="24"/>
                <w:highlight w:val="none"/>
              </w:rPr>
              <w:t>质性条款</w:t>
            </w:r>
            <w:r>
              <w:rPr>
                <w:rFonts w:hint="eastAsia" w:asciiTheme="majorEastAsia" w:hAnsiTheme="majorEastAsia" w:eastAsiaTheme="majorEastAsia" w:cstheme="majorEastAsia"/>
                <w:color w:val="auto"/>
                <w:sz w:val="24"/>
                <w:highlight w:val="none"/>
              </w:rPr>
              <w:t xml:space="preserve"> </w:t>
            </w:r>
            <w:r>
              <w:rPr>
                <w:rFonts w:hint="eastAsia" w:asciiTheme="majorEastAsia" w:hAnsiTheme="majorEastAsia" w:eastAsiaTheme="majorEastAsia" w:cstheme="majorEastAsia"/>
                <w:color w:val="auto"/>
                <w:spacing w:val="-11"/>
                <w:sz w:val="24"/>
                <w:highlight w:val="none"/>
              </w:rPr>
              <w:t>内</w:t>
            </w:r>
            <w:r>
              <w:rPr>
                <w:rFonts w:hint="eastAsia" w:asciiTheme="majorEastAsia" w:hAnsiTheme="majorEastAsia" w:eastAsiaTheme="majorEastAsia" w:cstheme="majorEastAsia"/>
                <w:color w:val="auto"/>
                <w:spacing w:val="-9"/>
                <w:sz w:val="24"/>
                <w:highlight w:val="none"/>
              </w:rPr>
              <w:t>容</w:t>
            </w:r>
          </w:p>
        </w:tc>
        <w:tc>
          <w:tcPr>
            <w:tcW w:w="3151" w:type="dxa"/>
          </w:tcPr>
          <w:p w14:paraId="6C2AEED8">
            <w:pPr>
              <w:spacing w:line="360" w:lineRule="auto"/>
              <w:jc w:val="center"/>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spacing w:val="-4"/>
                <w:sz w:val="24"/>
                <w:highlight w:val="none"/>
              </w:rPr>
              <w:t>采购文件商务要求</w:t>
            </w:r>
          </w:p>
        </w:tc>
        <w:tc>
          <w:tcPr>
            <w:tcW w:w="3994" w:type="dxa"/>
          </w:tcPr>
          <w:p w14:paraId="02D1D9D1">
            <w:pPr>
              <w:spacing w:before="34" w:line="360" w:lineRule="auto"/>
              <w:ind w:left="1547"/>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pacing w:val="-5"/>
                <w:sz w:val="24"/>
                <w:highlight w:val="none"/>
              </w:rPr>
              <w:t>响</w:t>
            </w:r>
            <w:r>
              <w:rPr>
                <w:rFonts w:hint="eastAsia" w:asciiTheme="majorEastAsia" w:hAnsiTheme="majorEastAsia" w:eastAsiaTheme="majorEastAsia" w:cstheme="majorEastAsia"/>
                <w:color w:val="auto"/>
                <w:spacing w:val="-4"/>
                <w:sz w:val="24"/>
                <w:highlight w:val="none"/>
              </w:rPr>
              <w:t>应内容</w:t>
            </w:r>
          </w:p>
        </w:tc>
        <w:tc>
          <w:tcPr>
            <w:tcW w:w="1363" w:type="dxa"/>
          </w:tcPr>
          <w:p w14:paraId="3C5A450A">
            <w:pPr>
              <w:spacing w:before="34" w:line="360" w:lineRule="auto"/>
              <w:ind w:left="453"/>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pacing w:val="-4"/>
                <w:sz w:val="24"/>
                <w:highlight w:val="none"/>
              </w:rPr>
              <w:t>备</w:t>
            </w:r>
            <w:r>
              <w:rPr>
                <w:rFonts w:hint="eastAsia" w:asciiTheme="majorEastAsia" w:hAnsiTheme="majorEastAsia" w:eastAsiaTheme="majorEastAsia" w:cstheme="majorEastAsia"/>
                <w:color w:val="auto"/>
                <w:spacing w:val="-3"/>
                <w:sz w:val="24"/>
                <w:highlight w:val="none"/>
              </w:rPr>
              <w:t>注</w:t>
            </w:r>
          </w:p>
        </w:tc>
      </w:tr>
      <w:tr w14:paraId="1024AC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3" w:hRule="atLeast"/>
        </w:trPr>
        <w:tc>
          <w:tcPr>
            <w:tcW w:w="693" w:type="dxa"/>
          </w:tcPr>
          <w:p w14:paraId="3E50CD9E">
            <w:pPr>
              <w:spacing w:line="360" w:lineRule="auto"/>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1</w:t>
            </w:r>
          </w:p>
        </w:tc>
        <w:tc>
          <w:tcPr>
            <w:tcW w:w="1500" w:type="dxa"/>
            <w:gridSpan w:val="2"/>
          </w:tcPr>
          <w:p w14:paraId="5D7929D5">
            <w:pPr>
              <w:spacing w:line="360" w:lineRule="auto"/>
              <w:rPr>
                <w:rFonts w:asciiTheme="majorEastAsia" w:hAnsiTheme="majorEastAsia" w:eastAsiaTheme="majorEastAsia" w:cstheme="majorEastAsia"/>
                <w:color w:val="auto"/>
                <w:highlight w:val="none"/>
              </w:rPr>
            </w:pPr>
          </w:p>
        </w:tc>
        <w:tc>
          <w:tcPr>
            <w:tcW w:w="3151" w:type="dxa"/>
          </w:tcPr>
          <w:p w14:paraId="022F1359">
            <w:pPr>
              <w:spacing w:line="360" w:lineRule="auto"/>
              <w:rPr>
                <w:rFonts w:asciiTheme="majorEastAsia" w:hAnsiTheme="majorEastAsia" w:eastAsiaTheme="majorEastAsia" w:cstheme="majorEastAsia"/>
                <w:color w:val="auto"/>
                <w:highlight w:val="none"/>
              </w:rPr>
            </w:pPr>
          </w:p>
        </w:tc>
        <w:tc>
          <w:tcPr>
            <w:tcW w:w="3994" w:type="dxa"/>
          </w:tcPr>
          <w:p w14:paraId="401ECB35">
            <w:pPr>
              <w:spacing w:line="360" w:lineRule="auto"/>
              <w:rPr>
                <w:rFonts w:asciiTheme="majorEastAsia" w:hAnsiTheme="majorEastAsia" w:eastAsiaTheme="majorEastAsia" w:cstheme="majorEastAsia"/>
                <w:color w:val="auto"/>
                <w:highlight w:val="none"/>
              </w:rPr>
            </w:pPr>
          </w:p>
        </w:tc>
        <w:tc>
          <w:tcPr>
            <w:tcW w:w="1363" w:type="dxa"/>
          </w:tcPr>
          <w:p w14:paraId="6D4F2E08">
            <w:pPr>
              <w:spacing w:line="360" w:lineRule="auto"/>
              <w:rPr>
                <w:rFonts w:asciiTheme="majorEastAsia" w:hAnsiTheme="majorEastAsia" w:eastAsiaTheme="majorEastAsia" w:cstheme="majorEastAsia"/>
                <w:color w:val="auto"/>
                <w:highlight w:val="none"/>
              </w:rPr>
            </w:pPr>
          </w:p>
        </w:tc>
      </w:tr>
      <w:tr w14:paraId="7AD743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3" w:hRule="atLeast"/>
        </w:trPr>
        <w:tc>
          <w:tcPr>
            <w:tcW w:w="693" w:type="dxa"/>
          </w:tcPr>
          <w:p w14:paraId="24E9DDBC">
            <w:pPr>
              <w:spacing w:line="360" w:lineRule="auto"/>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2</w:t>
            </w:r>
          </w:p>
        </w:tc>
        <w:tc>
          <w:tcPr>
            <w:tcW w:w="1500" w:type="dxa"/>
            <w:gridSpan w:val="2"/>
          </w:tcPr>
          <w:p w14:paraId="424897B4">
            <w:pPr>
              <w:spacing w:line="360" w:lineRule="auto"/>
              <w:rPr>
                <w:rFonts w:asciiTheme="majorEastAsia" w:hAnsiTheme="majorEastAsia" w:eastAsiaTheme="majorEastAsia" w:cstheme="majorEastAsia"/>
                <w:color w:val="auto"/>
                <w:highlight w:val="none"/>
              </w:rPr>
            </w:pPr>
          </w:p>
        </w:tc>
        <w:tc>
          <w:tcPr>
            <w:tcW w:w="3151" w:type="dxa"/>
          </w:tcPr>
          <w:p w14:paraId="6FA11399">
            <w:pPr>
              <w:spacing w:line="360" w:lineRule="auto"/>
              <w:rPr>
                <w:rFonts w:asciiTheme="majorEastAsia" w:hAnsiTheme="majorEastAsia" w:eastAsiaTheme="majorEastAsia" w:cstheme="majorEastAsia"/>
                <w:color w:val="auto"/>
                <w:highlight w:val="none"/>
              </w:rPr>
            </w:pPr>
          </w:p>
        </w:tc>
        <w:tc>
          <w:tcPr>
            <w:tcW w:w="3994" w:type="dxa"/>
          </w:tcPr>
          <w:p w14:paraId="3C30381A">
            <w:pPr>
              <w:spacing w:line="360" w:lineRule="auto"/>
              <w:rPr>
                <w:rFonts w:asciiTheme="majorEastAsia" w:hAnsiTheme="majorEastAsia" w:eastAsiaTheme="majorEastAsia" w:cstheme="majorEastAsia"/>
                <w:color w:val="auto"/>
                <w:highlight w:val="none"/>
              </w:rPr>
            </w:pPr>
          </w:p>
        </w:tc>
        <w:tc>
          <w:tcPr>
            <w:tcW w:w="1363" w:type="dxa"/>
          </w:tcPr>
          <w:p w14:paraId="1F840DA3">
            <w:pPr>
              <w:spacing w:line="360" w:lineRule="auto"/>
              <w:rPr>
                <w:rFonts w:asciiTheme="majorEastAsia" w:hAnsiTheme="majorEastAsia" w:eastAsiaTheme="majorEastAsia" w:cstheme="majorEastAsia"/>
                <w:color w:val="auto"/>
                <w:highlight w:val="none"/>
              </w:rPr>
            </w:pPr>
          </w:p>
        </w:tc>
      </w:tr>
      <w:tr w14:paraId="03671D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3" w:hRule="atLeast"/>
        </w:trPr>
        <w:tc>
          <w:tcPr>
            <w:tcW w:w="693" w:type="dxa"/>
          </w:tcPr>
          <w:p w14:paraId="4A855C79">
            <w:pPr>
              <w:spacing w:line="360" w:lineRule="auto"/>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w:t>
            </w:r>
          </w:p>
        </w:tc>
        <w:tc>
          <w:tcPr>
            <w:tcW w:w="1500" w:type="dxa"/>
            <w:gridSpan w:val="2"/>
          </w:tcPr>
          <w:p w14:paraId="03A9BB77">
            <w:pPr>
              <w:spacing w:line="360" w:lineRule="auto"/>
              <w:rPr>
                <w:rFonts w:asciiTheme="majorEastAsia" w:hAnsiTheme="majorEastAsia" w:eastAsiaTheme="majorEastAsia" w:cstheme="majorEastAsia"/>
                <w:color w:val="auto"/>
                <w:highlight w:val="none"/>
              </w:rPr>
            </w:pPr>
          </w:p>
        </w:tc>
        <w:tc>
          <w:tcPr>
            <w:tcW w:w="3151" w:type="dxa"/>
          </w:tcPr>
          <w:p w14:paraId="5D3C3919">
            <w:pPr>
              <w:spacing w:line="360" w:lineRule="auto"/>
              <w:rPr>
                <w:rFonts w:asciiTheme="majorEastAsia" w:hAnsiTheme="majorEastAsia" w:eastAsiaTheme="majorEastAsia" w:cstheme="majorEastAsia"/>
                <w:color w:val="auto"/>
                <w:highlight w:val="none"/>
              </w:rPr>
            </w:pPr>
          </w:p>
        </w:tc>
        <w:tc>
          <w:tcPr>
            <w:tcW w:w="3994" w:type="dxa"/>
          </w:tcPr>
          <w:p w14:paraId="53C5650F">
            <w:pPr>
              <w:spacing w:line="360" w:lineRule="auto"/>
              <w:rPr>
                <w:rFonts w:asciiTheme="majorEastAsia" w:hAnsiTheme="majorEastAsia" w:eastAsiaTheme="majorEastAsia" w:cstheme="majorEastAsia"/>
                <w:color w:val="auto"/>
                <w:highlight w:val="none"/>
              </w:rPr>
            </w:pPr>
          </w:p>
        </w:tc>
        <w:tc>
          <w:tcPr>
            <w:tcW w:w="1363" w:type="dxa"/>
          </w:tcPr>
          <w:p w14:paraId="475BAC79">
            <w:pPr>
              <w:spacing w:line="360" w:lineRule="auto"/>
              <w:rPr>
                <w:rFonts w:asciiTheme="majorEastAsia" w:hAnsiTheme="majorEastAsia" w:eastAsiaTheme="majorEastAsia" w:cstheme="majorEastAsia"/>
                <w:color w:val="auto"/>
                <w:highlight w:val="none"/>
              </w:rPr>
            </w:pPr>
          </w:p>
        </w:tc>
      </w:tr>
      <w:tr w14:paraId="40C125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9" w:hRule="atLeast"/>
        </w:trPr>
        <w:tc>
          <w:tcPr>
            <w:tcW w:w="693" w:type="dxa"/>
          </w:tcPr>
          <w:p w14:paraId="46176FE7">
            <w:pPr>
              <w:spacing w:line="360" w:lineRule="auto"/>
              <w:rPr>
                <w:rFonts w:asciiTheme="majorEastAsia" w:hAnsiTheme="majorEastAsia" w:eastAsiaTheme="majorEastAsia" w:cstheme="majorEastAsia"/>
                <w:color w:val="auto"/>
                <w:highlight w:val="none"/>
              </w:rPr>
            </w:pPr>
          </w:p>
        </w:tc>
        <w:tc>
          <w:tcPr>
            <w:tcW w:w="1500" w:type="dxa"/>
            <w:gridSpan w:val="2"/>
          </w:tcPr>
          <w:p w14:paraId="72CA42C1">
            <w:pPr>
              <w:spacing w:before="35" w:line="360" w:lineRule="auto"/>
              <w:ind w:left="156"/>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pacing w:val="-4"/>
                <w:sz w:val="24"/>
                <w:highlight w:val="none"/>
              </w:rPr>
              <w:t>按</w:t>
            </w:r>
            <w:r>
              <w:rPr>
                <w:rFonts w:hint="eastAsia" w:asciiTheme="majorEastAsia" w:hAnsiTheme="majorEastAsia" w:eastAsiaTheme="majorEastAsia" w:cstheme="majorEastAsia"/>
                <w:color w:val="auto"/>
                <w:spacing w:val="-2"/>
                <w:sz w:val="24"/>
                <w:highlight w:val="none"/>
              </w:rPr>
              <w:t>采购文件</w:t>
            </w:r>
          </w:p>
          <w:p w14:paraId="261132A8">
            <w:pPr>
              <w:spacing w:before="26" w:line="360" w:lineRule="auto"/>
              <w:ind w:left="155"/>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pacing w:val="-2"/>
                <w:sz w:val="24"/>
                <w:highlight w:val="none"/>
              </w:rPr>
              <w:t>规定的商</w:t>
            </w:r>
            <w:r>
              <w:rPr>
                <w:rFonts w:hint="eastAsia" w:asciiTheme="majorEastAsia" w:hAnsiTheme="majorEastAsia" w:eastAsiaTheme="majorEastAsia" w:cstheme="majorEastAsia"/>
                <w:color w:val="auto"/>
                <w:spacing w:val="-1"/>
                <w:sz w:val="24"/>
                <w:highlight w:val="none"/>
              </w:rPr>
              <w:t>务</w:t>
            </w:r>
          </w:p>
          <w:p w14:paraId="58DBF3E5">
            <w:pPr>
              <w:spacing w:before="23" w:line="360" w:lineRule="auto"/>
              <w:ind w:left="159"/>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pacing w:val="-4"/>
                <w:sz w:val="24"/>
                <w:highlight w:val="none"/>
              </w:rPr>
              <w:t>实</w:t>
            </w:r>
            <w:r>
              <w:rPr>
                <w:rFonts w:hint="eastAsia" w:asciiTheme="majorEastAsia" w:hAnsiTheme="majorEastAsia" w:eastAsiaTheme="majorEastAsia" w:cstheme="majorEastAsia"/>
                <w:color w:val="auto"/>
                <w:spacing w:val="-3"/>
                <w:sz w:val="24"/>
                <w:highlight w:val="none"/>
              </w:rPr>
              <w:t>质</w:t>
            </w:r>
            <w:r>
              <w:rPr>
                <w:rFonts w:hint="eastAsia" w:asciiTheme="majorEastAsia" w:hAnsiTheme="majorEastAsia" w:eastAsiaTheme="majorEastAsia" w:cstheme="majorEastAsia"/>
                <w:color w:val="auto"/>
                <w:spacing w:val="-2"/>
                <w:sz w:val="24"/>
                <w:highlight w:val="none"/>
              </w:rPr>
              <w:t>性条款</w:t>
            </w:r>
          </w:p>
          <w:p w14:paraId="74AF318C">
            <w:pPr>
              <w:spacing w:before="26" w:line="360" w:lineRule="auto"/>
              <w:ind w:left="275"/>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pacing w:val="-2"/>
                <w:sz w:val="24"/>
                <w:highlight w:val="none"/>
              </w:rPr>
              <w:t>逐一列明</w:t>
            </w:r>
          </w:p>
        </w:tc>
        <w:tc>
          <w:tcPr>
            <w:tcW w:w="3151" w:type="dxa"/>
          </w:tcPr>
          <w:p w14:paraId="611F7DCF">
            <w:pPr>
              <w:spacing w:line="360" w:lineRule="auto"/>
              <w:rPr>
                <w:rFonts w:asciiTheme="majorEastAsia" w:hAnsiTheme="majorEastAsia" w:eastAsiaTheme="majorEastAsia" w:cstheme="majorEastAsia"/>
                <w:color w:val="auto"/>
                <w:highlight w:val="none"/>
              </w:rPr>
            </w:pPr>
          </w:p>
        </w:tc>
        <w:tc>
          <w:tcPr>
            <w:tcW w:w="3994" w:type="dxa"/>
          </w:tcPr>
          <w:p w14:paraId="17D8BB56">
            <w:pPr>
              <w:spacing w:line="360" w:lineRule="auto"/>
              <w:rPr>
                <w:rFonts w:asciiTheme="majorEastAsia" w:hAnsiTheme="majorEastAsia" w:eastAsiaTheme="majorEastAsia" w:cstheme="majorEastAsia"/>
                <w:color w:val="auto"/>
                <w:highlight w:val="none"/>
              </w:rPr>
            </w:pPr>
          </w:p>
        </w:tc>
        <w:tc>
          <w:tcPr>
            <w:tcW w:w="1363" w:type="dxa"/>
          </w:tcPr>
          <w:p w14:paraId="22938C44">
            <w:pPr>
              <w:spacing w:line="360" w:lineRule="auto"/>
              <w:rPr>
                <w:rFonts w:asciiTheme="majorEastAsia" w:hAnsiTheme="majorEastAsia" w:eastAsiaTheme="majorEastAsia" w:cstheme="majorEastAsia"/>
                <w:color w:val="auto"/>
                <w:highlight w:val="none"/>
              </w:rPr>
            </w:pPr>
          </w:p>
        </w:tc>
      </w:tr>
      <w:tr w14:paraId="10D676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10701" w:type="dxa"/>
            <w:gridSpan w:val="6"/>
          </w:tcPr>
          <w:p w14:paraId="71CD4436">
            <w:pPr>
              <w:spacing w:line="360" w:lineRule="auto"/>
              <w:rPr>
                <w:rFonts w:asciiTheme="majorEastAsia" w:hAnsiTheme="majorEastAsia" w:eastAsiaTheme="majorEastAsia" w:cstheme="majorEastAsia"/>
                <w:color w:val="auto"/>
                <w:highlight w:val="none"/>
              </w:rPr>
            </w:pPr>
          </w:p>
        </w:tc>
      </w:tr>
    </w:tbl>
    <w:p w14:paraId="3BEC7A77">
      <w:pPr>
        <w:spacing w:line="360" w:lineRule="auto"/>
        <w:ind w:right="420" w:firstLine="2684" w:firstLineChars="1100"/>
        <w:rPr>
          <w:rFonts w:asciiTheme="majorEastAsia" w:hAnsiTheme="majorEastAsia" w:eastAsiaTheme="majorEastAsia" w:cstheme="majorEastAsia"/>
          <w:color w:val="auto"/>
          <w:sz w:val="24"/>
          <w:highlight w:val="none"/>
        </w:rPr>
      </w:pPr>
    </w:p>
    <w:p w14:paraId="17853173">
      <w:pPr>
        <w:spacing w:line="360" w:lineRule="auto"/>
        <w:ind w:right="420" w:firstLine="2684" w:firstLineChars="1100"/>
        <w:rPr>
          <w:rFonts w:asciiTheme="majorEastAsia" w:hAnsiTheme="majorEastAsia" w:eastAsiaTheme="majorEastAsia" w:cstheme="majorEastAsia"/>
          <w:color w:val="auto"/>
          <w:sz w:val="24"/>
          <w:highlight w:val="none"/>
        </w:rPr>
      </w:pPr>
    </w:p>
    <w:p w14:paraId="0C90DD3A">
      <w:pPr>
        <w:spacing w:line="360" w:lineRule="auto"/>
        <w:ind w:right="420" w:firstLine="2684" w:firstLineChars="110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xml:space="preserve">投标供应商：（公章）    </w:t>
      </w:r>
    </w:p>
    <w:p w14:paraId="4FBFB69C">
      <w:pPr>
        <w:pStyle w:val="8"/>
        <w:spacing w:line="360" w:lineRule="auto"/>
        <w:ind w:firstLine="5612" w:firstLineChars="2300"/>
        <w:jc w:val="left"/>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年    月    日</w:t>
      </w:r>
    </w:p>
    <w:p w14:paraId="642A866A">
      <w:pPr>
        <w:pStyle w:val="8"/>
        <w:spacing w:line="360" w:lineRule="auto"/>
        <w:ind w:firstLine="5612" w:firstLineChars="2300"/>
        <w:jc w:val="left"/>
        <w:rPr>
          <w:rFonts w:asciiTheme="majorEastAsia" w:hAnsiTheme="majorEastAsia" w:eastAsiaTheme="majorEastAsia" w:cstheme="majorEastAsia"/>
          <w:color w:val="auto"/>
          <w:sz w:val="24"/>
          <w:highlight w:val="none"/>
        </w:rPr>
      </w:pPr>
    </w:p>
    <w:p w14:paraId="2720C8B7">
      <w:pPr>
        <w:pStyle w:val="8"/>
        <w:spacing w:line="360" w:lineRule="auto"/>
        <w:ind w:firstLine="5612" w:firstLineChars="2300"/>
        <w:jc w:val="left"/>
        <w:rPr>
          <w:rFonts w:asciiTheme="majorEastAsia" w:hAnsiTheme="majorEastAsia" w:eastAsiaTheme="majorEastAsia" w:cstheme="majorEastAsia"/>
          <w:color w:val="auto"/>
          <w:sz w:val="24"/>
          <w:highlight w:val="none"/>
        </w:rPr>
      </w:pPr>
    </w:p>
    <w:p w14:paraId="35A0DEB8">
      <w:pPr>
        <w:pStyle w:val="8"/>
        <w:spacing w:line="360" w:lineRule="auto"/>
        <w:ind w:firstLine="5612" w:firstLineChars="2300"/>
        <w:jc w:val="left"/>
        <w:rPr>
          <w:rFonts w:asciiTheme="majorEastAsia" w:hAnsiTheme="majorEastAsia" w:eastAsiaTheme="majorEastAsia" w:cstheme="majorEastAsia"/>
          <w:color w:val="auto"/>
          <w:sz w:val="24"/>
          <w:highlight w:val="none"/>
        </w:rPr>
      </w:pPr>
    </w:p>
    <w:p w14:paraId="6ECEE266">
      <w:pPr>
        <w:pStyle w:val="8"/>
        <w:spacing w:line="360" w:lineRule="auto"/>
        <w:ind w:firstLine="5612" w:firstLineChars="2300"/>
        <w:jc w:val="left"/>
        <w:rPr>
          <w:rFonts w:asciiTheme="majorEastAsia" w:hAnsiTheme="majorEastAsia" w:eastAsiaTheme="majorEastAsia" w:cstheme="majorEastAsia"/>
          <w:color w:val="auto"/>
          <w:sz w:val="24"/>
          <w:highlight w:val="none"/>
        </w:rPr>
      </w:pPr>
    </w:p>
    <w:p w14:paraId="4F4AA396">
      <w:pPr>
        <w:pStyle w:val="8"/>
        <w:spacing w:line="360" w:lineRule="auto"/>
        <w:ind w:firstLine="5612" w:firstLineChars="2300"/>
        <w:jc w:val="left"/>
        <w:rPr>
          <w:rFonts w:asciiTheme="majorEastAsia" w:hAnsiTheme="majorEastAsia" w:eastAsiaTheme="majorEastAsia" w:cstheme="majorEastAsia"/>
          <w:color w:val="auto"/>
          <w:sz w:val="24"/>
          <w:highlight w:val="none"/>
        </w:rPr>
      </w:pPr>
    </w:p>
    <w:p w14:paraId="1C9B8E4B">
      <w:pPr>
        <w:pStyle w:val="8"/>
        <w:spacing w:line="360" w:lineRule="auto"/>
        <w:jc w:val="left"/>
        <w:rPr>
          <w:rFonts w:asciiTheme="majorEastAsia" w:hAnsiTheme="majorEastAsia" w:eastAsiaTheme="majorEastAsia" w:cstheme="majorEastAsia"/>
          <w:color w:val="auto"/>
          <w:sz w:val="24"/>
          <w:highlight w:val="none"/>
        </w:rPr>
      </w:pPr>
    </w:p>
    <w:p w14:paraId="33C53363">
      <w:pPr>
        <w:pStyle w:val="2"/>
        <w:spacing w:line="360" w:lineRule="auto"/>
        <w:ind w:firstLine="490"/>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6.1技术偏离表（如有）</w:t>
      </w:r>
    </w:p>
    <w:p w14:paraId="79B2E789">
      <w:pPr>
        <w:pStyle w:val="2"/>
        <w:spacing w:line="360" w:lineRule="auto"/>
        <w:ind w:firstLine="490"/>
        <w:rPr>
          <w:rFonts w:asciiTheme="majorEastAsia" w:hAnsiTheme="majorEastAsia" w:eastAsiaTheme="majorEastAsia" w:cstheme="majorEastAsia"/>
          <w:color w:val="auto"/>
          <w:sz w:val="24"/>
          <w:highlight w:val="none"/>
        </w:rPr>
      </w:pPr>
    </w:p>
    <w:tbl>
      <w:tblPr>
        <w:tblStyle w:val="20"/>
        <w:tblW w:w="9144" w:type="dxa"/>
        <w:tblInd w:w="213" w:type="dxa"/>
        <w:tblLayout w:type="fixed"/>
        <w:tblCellMar>
          <w:top w:w="0" w:type="dxa"/>
          <w:left w:w="108" w:type="dxa"/>
          <w:bottom w:w="0" w:type="dxa"/>
          <w:right w:w="108" w:type="dxa"/>
        </w:tblCellMar>
      </w:tblPr>
      <w:tblGrid>
        <w:gridCol w:w="816"/>
        <w:gridCol w:w="1915"/>
        <w:gridCol w:w="2009"/>
        <w:gridCol w:w="2862"/>
        <w:gridCol w:w="1542"/>
      </w:tblGrid>
      <w:tr w14:paraId="1793122B">
        <w:tblPrEx>
          <w:tblCellMar>
            <w:top w:w="0" w:type="dxa"/>
            <w:left w:w="108" w:type="dxa"/>
            <w:bottom w:w="0" w:type="dxa"/>
            <w:right w:w="108" w:type="dxa"/>
          </w:tblCellMar>
        </w:tblPrEx>
        <w:tc>
          <w:tcPr>
            <w:tcW w:w="816" w:type="dxa"/>
            <w:tcBorders>
              <w:top w:val="single" w:color="auto" w:sz="6" w:space="0"/>
              <w:left w:val="single" w:color="auto" w:sz="6" w:space="0"/>
              <w:bottom w:val="single" w:color="auto" w:sz="6" w:space="0"/>
              <w:right w:val="single" w:color="auto" w:sz="6" w:space="0"/>
            </w:tcBorders>
            <w:vAlign w:val="center"/>
          </w:tcPr>
          <w:p w14:paraId="3A5D866B">
            <w:pPr>
              <w:autoSpaceDE w:val="0"/>
              <w:autoSpaceDN w:val="0"/>
              <w:adjustRightInd w:val="0"/>
              <w:spacing w:line="360" w:lineRule="auto"/>
              <w:jc w:val="center"/>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序号</w:t>
            </w:r>
          </w:p>
        </w:tc>
        <w:tc>
          <w:tcPr>
            <w:tcW w:w="1915" w:type="dxa"/>
            <w:tcBorders>
              <w:top w:val="single" w:color="auto" w:sz="6" w:space="0"/>
              <w:left w:val="single" w:color="auto" w:sz="6" w:space="0"/>
              <w:bottom w:val="single" w:color="auto" w:sz="6" w:space="0"/>
              <w:right w:val="single" w:color="auto" w:sz="6" w:space="0"/>
            </w:tcBorders>
            <w:vAlign w:val="center"/>
          </w:tcPr>
          <w:p w14:paraId="1921AAD3">
            <w:pPr>
              <w:autoSpaceDE w:val="0"/>
              <w:autoSpaceDN w:val="0"/>
              <w:adjustRightInd w:val="0"/>
              <w:spacing w:line="360" w:lineRule="auto"/>
              <w:jc w:val="center"/>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rPr>
              <w:t>采购文件</w:t>
            </w:r>
            <w:r>
              <w:rPr>
                <w:rFonts w:hint="eastAsia" w:asciiTheme="majorEastAsia" w:hAnsiTheme="majorEastAsia" w:eastAsiaTheme="majorEastAsia" w:cstheme="majorEastAsia"/>
                <w:color w:val="auto"/>
                <w:sz w:val="24"/>
                <w:highlight w:val="none"/>
                <w:lang w:val="zh-CN"/>
              </w:rPr>
              <w:t>要求参数</w:t>
            </w:r>
          </w:p>
        </w:tc>
        <w:tc>
          <w:tcPr>
            <w:tcW w:w="2009" w:type="dxa"/>
            <w:tcBorders>
              <w:top w:val="single" w:color="auto" w:sz="6" w:space="0"/>
              <w:left w:val="single" w:color="auto" w:sz="6" w:space="0"/>
              <w:bottom w:val="single" w:color="auto" w:sz="6" w:space="0"/>
              <w:right w:val="single" w:color="auto" w:sz="6" w:space="0"/>
            </w:tcBorders>
            <w:vAlign w:val="center"/>
          </w:tcPr>
          <w:p w14:paraId="6A8BEA51">
            <w:pPr>
              <w:autoSpaceDE w:val="0"/>
              <w:autoSpaceDN w:val="0"/>
              <w:adjustRightInd w:val="0"/>
              <w:spacing w:line="360" w:lineRule="auto"/>
              <w:jc w:val="center"/>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响应实际参数</w:t>
            </w:r>
          </w:p>
        </w:tc>
        <w:tc>
          <w:tcPr>
            <w:tcW w:w="2862" w:type="dxa"/>
            <w:tcBorders>
              <w:top w:val="single" w:color="auto" w:sz="6" w:space="0"/>
              <w:left w:val="single" w:color="auto" w:sz="6" w:space="0"/>
              <w:bottom w:val="single" w:color="auto" w:sz="6" w:space="0"/>
              <w:right w:val="single" w:color="auto" w:sz="6" w:space="0"/>
            </w:tcBorders>
            <w:vAlign w:val="center"/>
          </w:tcPr>
          <w:p w14:paraId="718C5604">
            <w:pPr>
              <w:autoSpaceDE w:val="0"/>
              <w:autoSpaceDN w:val="0"/>
              <w:adjustRightInd w:val="0"/>
              <w:spacing w:line="360" w:lineRule="auto"/>
              <w:jc w:val="center"/>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符合/正偏离/负偏离</w:t>
            </w:r>
          </w:p>
        </w:tc>
        <w:tc>
          <w:tcPr>
            <w:tcW w:w="1542" w:type="dxa"/>
            <w:tcBorders>
              <w:top w:val="single" w:color="auto" w:sz="6" w:space="0"/>
              <w:left w:val="single" w:color="auto" w:sz="6" w:space="0"/>
              <w:bottom w:val="single" w:color="auto" w:sz="6" w:space="0"/>
              <w:right w:val="single" w:color="auto" w:sz="6" w:space="0"/>
            </w:tcBorders>
            <w:vAlign w:val="center"/>
          </w:tcPr>
          <w:p w14:paraId="3F431C24">
            <w:pPr>
              <w:autoSpaceDE w:val="0"/>
              <w:autoSpaceDN w:val="0"/>
              <w:adjustRightInd w:val="0"/>
              <w:spacing w:line="360" w:lineRule="auto"/>
              <w:jc w:val="center"/>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备注</w:t>
            </w:r>
          </w:p>
        </w:tc>
      </w:tr>
      <w:tr w14:paraId="0F93AFA8">
        <w:tblPrEx>
          <w:tblCellMar>
            <w:top w:w="0" w:type="dxa"/>
            <w:left w:w="108" w:type="dxa"/>
            <w:bottom w:w="0" w:type="dxa"/>
            <w:right w:w="108" w:type="dxa"/>
          </w:tblCellMar>
        </w:tblPrEx>
        <w:trPr>
          <w:trHeight w:val="640" w:hRule="atLeast"/>
        </w:trPr>
        <w:tc>
          <w:tcPr>
            <w:tcW w:w="816" w:type="dxa"/>
            <w:tcBorders>
              <w:top w:val="single" w:color="auto" w:sz="6" w:space="0"/>
              <w:left w:val="single" w:color="auto" w:sz="6" w:space="0"/>
              <w:bottom w:val="single" w:color="auto" w:sz="6" w:space="0"/>
              <w:right w:val="single" w:color="auto" w:sz="6" w:space="0"/>
            </w:tcBorders>
          </w:tcPr>
          <w:p w14:paraId="57EBF04C">
            <w:pPr>
              <w:autoSpaceDE w:val="0"/>
              <w:autoSpaceDN w:val="0"/>
              <w:adjustRightInd w:val="0"/>
              <w:spacing w:line="360" w:lineRule="auto"/>
              <w:jc w:val="center"/>
              <w:rPr>
                <w:rFonts w:asciiTheme="majorEastAsia" w:hAnsiTheme="majorEastAsia" w:eastAsiaTheme="majorEastAsia" w:cstheme="majorEastAsia"/>
                <w:b/>
                <w:bCs/>
                <w:color w:val="auto"/>
                <w:sz w:val="24"/>
                <w:highlight w:val="none"/>
                <w:lang w:val="zh-CN"/>
              </w:rPr>
            </w:pPr>
          </w:p>
        </w:tc>
        <w:tc>
          <w:tcPr>
            <w:tcW w:w="1915" w:type="dxa"/>
            <w:tcBorders>
              <w:top w:val="single" w:color="auto" w:sz="6" w:space="0"/>
              <w:left w:val="single" w:color="auto" w:sz="6" w:space="0"/>
              <w:bottom w:val="single" w:color="auto" w:sz="6" w:space="0"/>
              <w:right w:val="single" w:color="auto" w:sz="6" w:space="0"/>
            </w:tcBorders>
          </w:tcPr>
          <w:p w14:paraId="2E0EEF54">
            <w:pPr>
              <w:autoSpaceDE w:val="0"/>
              <w:autoSpaceDN w:val="0"/>
              <w:adjustRightInd w:val="0"/>
              <w:spacing w:line="360" w:lineRule="auto"/>
              <w:jc w:val="center"/>
              <w:rPr>
                <w:rFonts w:asciiTheme="majorEastAsia" w:hAnsiTheme="majorEastAsia" w:eastAsiaTheme="majorEastAsia" w:cstheme="majorEastAsia"/>
                <w:b/>
                <w:bCs/>
                <w:color w:val="auto"/>
                <w:sz w:val="24"/>
                <w:highlight w:val="none"/>
                <w:lang w:val="zh-CN"/>
              </w:rPr>
            </w:pPr>
          </w:p>
        </w:tc>
        <w:tc>
          <w:tcPr>
            <w:tcW w:w="2009" w:type="dxa"/>
            <w:tcBorders>
              <w:top w:val="single" w:color="auto" w:sz="6" w:space="0"/>
              <w:left w:val="single" w:color="auto" w:sz="6" w:space="0"/>
              <w:bottom w:val="single" w:color="auto" w:sz="6" w:space="0"/>
              <w:right w:val="single" w:color="auto" w:sz="6" w:space="0"/>
            </w:tcBorders>
          </w:tcPr>
          <w:p w14:paraId="4D316D0C">
            <w:pPr>
              <w:autoSpaceDE w:val="0"/>
              <w:autoSpaceDN w:val="0"/>
              <w:adjustRightInd w:val="0"/>
              <w:spacing w:line="360" w:lineRule="auto"/>
              <w:rPr>
                <w:rFonts w:asciiTheme="majorEastAsia" w:hAnsiTheme="majorEastAsia" w:eastAsiaTheme="majorEastAsia" w:cstheme="majorEastAsia"/>
                <w:b/>
                <w:bCs/>
                <w:color w:val="auto"/>
                <w:sz w:val="24"/>
                <w:highlight w:val="none"/>
                <w:lang w:val="zh-CN"/>
              </w:rPr>
            </w:pPr>
          </w:p>
        </w:tc>
        <w:tc>
          <w:tcPr>
            <w:tcW w:w="2862" w:type="dxa"/>
            <w:tcBorders>
              <w:top w:val="single" w:color="auto" w:sz="6" w:space="0"/>
              <w:left w:val="single" w:color="auto" w:sz="6" w:space="0"/>
              <w:bottom w:val="single" w:color="auto" w:sz="6" w:space="0"/>
              <w:right w:val="single" w:color="auto" w:sz="6" w:space="0"/>
            </w:tcBorders>
          </w:tcPr>
          <w:p w14:paraId="69AC7B2C">
            <w:pPr>
              <w:autoSpaceDE w:val="0"/>
              <w:autoSpaceDN w:val="0"/>
              <w:adjustRightInd w:val="0"/>
              <w:spacing w:line="360" w:lineRule="auto"/>
              <w:jc w:val="center"/>
              <w:rPr>
                <w:rFonts w:asciiTheme="majorEastAsia" w:hAnsiTheme="majorEastAsia" w:eastAsiaTheme="majorEastAsia" w:cstheme="majorEastAsia"/>
                <w:b/>
                <w:bCs/>
                <w:color w:val="auto"/>
                <w:sz w:val="24"/>
                <w:highlight w:val="none"/>
                <w:lang w:val="zh-CN"/>
              </w:rPr>
            </w:pPr>
          </w:p>
        </w:tc>
        <w:tc>
          <w:tcPr>
            <w:tcW w:w="1542" w:type="dxa"/>
            <w:tcBorders>
              <w:top w:val="single" w:color="auto" w:sz="6" w:space="0"/>
              <w:left w:val="single" w:color="auto" w:sz="6" w:space="0"/>
              <w:bottom w:val="single" w:color="auto" w:sz="6" w:space="0"/>
              <w:right w:val="single" w:color="auto" w:sz="6" w:space="0"/>
            </w:tcBorders>
          </w:tcPr>
          <w:p w14:paraId="41D798FB">
            <w:pPr>
              <w:autoSpaceDE w:val="0"/>
              <w:autoSpaceDN w:val="0"/>
              <w:adjustRightInd w:val="0"/>
              <w:spacing w:line="360" w:lineRule="auto"/>
              <w:jc w:val="center"/>
              <w:rPr>
                <w:rFonts w:asciiTheme="majorEastAsia" w:hAnsiTheme="majorEastAsia" w:eastAsiaTheme="majorEastAsia" w:cstheme="majorEastAsia"/>
                <w:b/>
                <w:bCs/>
                <w:color w:val="auto"/>
                <w:sz w:val="24"/>
                <w:highlight w:val="none"/>
                <w:lang w:val="zh-CN"/>
              </w:rPr>
            </w:pPr>
          </w:p>
        </w:tc>
      </w:tr>
      <w:tr w14:paraId="3694898F">
        <w:tblPrEx>
          <w:tblCellMar>
            <w:top w:w="0" w:type="dxa"/>
            <w:left w:w="108" w:type="dxa"/>
            <w:bottom w:w="0" w:type="dxa"/>
            <w:right w:w="108" w:type="dxa"/>
          </w:tblCellMar>
        </w:tblPrEx>
        <w:trPr>
          <w:trHeight w:val="640" w:hRule="atLeast"/>
        </w:trPr>
        <w:tc>
          <w:tcPr>
            <w:tcW w:w="816" w:type="dxa"/>
            <w:tcBorders>
              <w:top w:val="single" w:color="auto" w:sz="6" w:space="0"/>
              <w:left w:val="single" w:color="auto" w:sz="6" w:space="0"/>
              <w:bottom w:val="single" w:color="auto" w:sz="6" w:space="0"/>
              <w:right w:val="single" w:color="auto" w:sz="6" w:space="0"/>
            </w:tcBorders>
          </w:tcPr>
          <w:p w14:paraId="367412D3">
            <w:pPr>
              <w:autoSpaceDE w:val="0"/>
              <w:autoSpaceDN w:val="0"/>
              <w:adjustRightInd w:val="0"/>
              <w:spacing w:line="360" w:lineRule="auto"/>
              <w:jc w:val="center"/>
              <w:rPr>
                <w:rFonts w:asciiTheme="majorEastAsia" w:hAnsiTheme="majorEastAsia" w:eastAsiaTheme="majorEastAsia" w:cstheme="majorEastAsia"/>
                <w:b/>
                <w:bCs/>
                <w:color w:val="auto"/>
                <w:sz w:val="24"/>
                <w:highlight w:val="none"/>
                <w:lang w:val="zh-CN"/>
              </w:rPr>
            </w:pPr>
          </w:p>
        </w:tc>
        <w:tc>
          <w:tcPr>
            <w:tcW w:w="1915" w:type="dxa"/>
            <w:tcBorders>
              <w:top w:val="single" w:color="auto" w:sz="6" w:space="0"/>
              <w:left w:val="single" w:color="auto" w:sz="6" w:space="0"/>
              <w:bottom w:val="single" w:color="auto" w:sz="6" w:space="0"/>
              <w:right w:val="single" w:color="auto" w:sz="6" w:space="0"/>
            </w:tcBorders>
          </w:tcPr>
          <w:p w14:paraId="32655576">
            <w:pPr>
              <w:autoSpaceDE w:val="0"/>
              <w:autoSpaceDN w:val="0"/>
              <w:adjustRightInd w:val="0"/>
              <w:spacing w:line="360" w:lineRule="auto"/>
              <w:jc w:val="center"/>
              <w:rPr>
                <w:rFonts w:asciiTheme="majorEastAsia" w:hAnsiTheme="majorEastAsia" w:eastAsiaTheme="majorEastAsia" w:cstheme="majorEastAsia"/>
                <w:b/>
                <w:bCs/>
                <w:color w:val="auto"/>
                <w:sz w:val="24"/>
                <w:highlight w:val="none"/>
                <w:lang w:val="zh-CN"/>
              </w:rPr>
            </w:pPr>
          </w:p>
        </w:tc>
        <w:tc>
          <w:tcPr>
            <w:tcW w:w="2009" w:type="dxa"/>
            <w:tcBorders>
              <w:top w:val="single" w:color="auto" w:sz="6" w:space="0"/>
              <w:left w:val="single" w:color="auto" w:sz="6" w:space="0"/>
              <w:bottom w:val="single" w:color="auto" w:sz="6" w:space="0"/>
              <w:right w:val="single" w:color="auto" w:sz="6" w:space="0"/>
            </w:tcBorders>
          </w:tcPr>
          <w:p w14:paraId="7FF7A658">
            <w:pPr>
              <w:autoSpaceDE w:val="0"/>
              <w:autoSpaceDN w:val="0"/>
              <w:adjustRightInd w:val="0"/>
              <w:spacing w:line="360" w:lineRule="auto"/>
              <w:jc w:val="center"/>
              <w:rPr>
                <w:rFonts w:asciiTheme="majorEastAsia" w:hAnsiTheme="majorEastAsia" w:eastAsiaTheme="majorEastAsia" w:cstheme="majorEastAsia"/>
                <w:b/>
                <w:bCs/>
                <w:color w:val="auto"/>
                <w:sz w:val="24"/>
                <w:highlight w:val="none"/>
                <w:lang w:val="zh-CN"/>
              </w:rPr>
            </w:pPr>
          </w:p>
        </w:tc>
        <w:tc>
          <w:tcPr>
            <w:tcW w:w="2862" w:type="dxa"/>
            <w:tcBorders>
              <w:top w:val="single" w:color="auto" w:sz="6" w:space="0"/>
              <w:left w:val="single" w:color="auto" w:sz="6" w:space="0"/>
              <w:bottom w:val="single" w:color="auto" w:sz="6" w:space="0"/>
              <w:right w:val="single" w:color="auto" w:sz="6" w:space="0"/>
            </w:tcBorders>
          </w:tcPr>
          <w:p w14:paraId="2FE80B08">
            <w:pPr>
              <w:autoSpaceDE w:val="0"/>
              <w:autoSpaceDN w:val="0"/>
              <w:adjustRightInd w:val="0"/>
              <w:spacing w:line="360" w:lineRule="auto"/>
              <w:jc w:val="center"/>
              <w:rPr>
                <w:rFonts w:asciiTheme="majorEastAsia" w:hAnsiTheme="majorEastAsia" w:eastAsiaTheme="majorEastAsia" w:cstheme="majorEastAsia"/>
                <w:b/>
                <w:bCs/>
                <w:color w:val="auto"/>
                <w:sz w:val="24"/>
                <w:highlight w:val="none"/>
                <w:lang w:val="zh-CN"/>
              </w:rPr>
            </w:pPr>
          </w:p>
        </w:tc>
        <w:tc>
          <w:tcPr>
            <w:tcW w:w="1542" w:type="dxa"/>
            <w:tcBorders>
              <w:top w:val="single" w:color="auto" w:sz="6" w:space="0"/>
              <w:left w:val="single" w:color="auto" w:sz="6" w:space="0"/>
              <w:bottom w:val="single" w:color="auto" w:sz="6" w:space="0"/>
              <w:right w:val="single" w:color="auto" w:sz="6" w:space="0"/>
            </w:tcBorders>
          </w:tcPr>
          <w:p w14:paraId="4387F1FD">
            <w:pPr>
              <w:autoSpaceDE w:val="0"/>
              <w:autoSpaceDN w:val="0"/>
              <w:adjustRightInd w:val="0"/>
              <w:spacing w:line="360" w:lineRule="auto"/>
              <w:jc w:val="center"/>
              <w:rPr>
                <w:rFonts w:asciiTheme="majorEastAsia" w:hAnsiTheme="majorEastAsia" w:eastAsiaTheme="majorEastAsia" w:cstheme="majorEastAsia"/>
                <w:b/>
                <w:bCs/>
                <w:color w:val="auto"/>
                <w:sz w:val="24"/>
                <w:highlight w:val="none"/>
                <w:lang w:val="zh-CN"/>
              </w:rPr>
            </w:pPr>
          </w:p>
        </w:tc>
      </w:tr>
      <w:tr w14:paraId="09CC1D15">
        <w:tblPrEx>
          <w:tblCellMar>
            <w:top w:w="0" w:type="dxa"/>
            <w:left w:w="108" w:type="dxa"/>
            <w:bottom w:w="0" w:type="dxa"/>
            <w:right w:w="108" w:type="dxa"/>
          </w:tblCellMar>
        </w:tblPrEx>
        <w:trPr>
          <w:trHeight w:val="640" w:hRule="atLeast"/>
        </w:trPr>
        <w:tc>
          <w:tcPr>
            <w:tcW w:w="816" w:type="dxa"/>
            <w:tcBorders>
              <w:top w:val="single" w:color="auto" w:sz="6" w:space="0"/>
              <w:left w:val="single" w:color="auto" w:sz="6" w:space="0"/>
              <w:bottom w:val="single" w:color="auto" w:sz="6" w:space="0"/>
              <w:right w:val="single" w:color="auto" w:sz="6" w:space="0"/>
            </w:tcBorders>
          </w:tcPr>
          <w:p w14:paraId="7DD7D3B4">
            <w:pPr>
              <w:autoSpaceDE w:val="0"/>
              <w:autoSpaceDN w:val="0"/>
              <w:adjustRightInd w:val="0"/>
              <w:spacing w:line="360" w:lineRule="auto"/>
              <w:jc w:val="center"/>
              <w:rPr>
                <w:rFonts w:asciiTheme="majorEastAsia" w:hAnsiTheme="majorEastAsia" w:eastAsiaTheme="majorEastAsia" w:cstheme="majorEastAsia"/>
                <w:b/>
                <w:bCs/>
                <w:color w:val="auto"/>
                <w:sz w:val="24"/>
                <w:highlight w:val="none"/>
                <w:lang w:val="zh-CN"/>
              </w:rPr>
            </w:pPr>
          </w:p>
        </w:tc>
        <w:tc>
          <w:tcPr>
            <w:tcW w:w="1915" w:type="dxa"/>
            <w:tcBorders>
              <w:top w:val="single" w:color="auto" w:sz="6" w:space="0"/>
              <w:left w:val="single" w:color="auto" w:sz="6" w:space="0"/>
              <w:bottom w:val="single" w:color="auto" w:sz="6" w:space="0"/>
              <w:right w:val="single" w:color="auto" w:sz="6" w:space="0"/>
            </w:tcBorders>
          </w:tcPr>
          <w:p w14:paraId="70A09C69">
            <w:pPr>
              <w:autoSpaceDE w:val="0"/>
              <w:autoSpaceDN w:val="0"/>
              <w:adjustRightInd w:val="0"/>
              <w:spacing w:line="360" w:lineRule="auto"/>
              <w:jc w:val="center"/>
              <w:rPr>
                <w:rFonts w:asciiTheme="majorEastAsia" w:hAnsiTheme="majorEastAsia" w:eastAsiaTheme="majorEastAsia" w:cstheme="majorEastAsia"/>
                <w:b/>
                <w:bCs/>
                <w:color w:val="auto"/>
                <w:sz w:val="24"/>
                <w:highlight w:val="none"/>
                <w:lang w:val="zh-CN"/>
              </w:rPr>
            </w:pPr>
          </w:p>
        </w:tc>
        <w:tc>
          <w:tcPr>
            <w:tcW w:w="2009" w:type="dxa"/>
            <w:tcBorders>
              <w:top w:val="single" w:color="auto" w:sz="6" w:space="0"/>
              <w:left w:val="single" w:color="auto" w:sz="6" w:space="0"/>
              <w:bottom w:val="single" w:color="auto" w:sz="6" w:space="0"/>
              <w:right w:val="single" w:color="auto" w:sz="6" w:space="0"/>
            </w:tcBorders>
          </w:tcPr>
          <w:p w14:paraId="4A64EAAF">
            <w:pPr>
              <w:autoSpaceDE w:val="0"/>
              <w:autoSpaceDN w:val="0"/>
              <w:adjustRightInd w:val="0"/>
              <w:spacing w:line="360" w:lineRule="auto"/>
              <w:jc w:val="center"/>
              <w:rPr>
                <w:rFonts w:asciiTheme="majorEastAsia" w:hAnsiTheme="majorEastAsia" w:eastAsiaTheme="majorEastAsia" w:cstheme="majorEastAsia"/>
                <w:b/>
                <w:bCs/>
                <w:color w:val="auto"/>
                <w:sz w:val="24"/>
                <w:highlight w:val="none"/>
                <w:lang w:val="zh-CN"/>
              </w:rPr>
            </w:pPr>
          </w:p>
        </w:tc>
        <w:tc>
          <w:tcPr>
            <w:tcW w:w="2862" w:type="dxa"/>
            <w:tcBorders>
              <w:top w:val="single" w:color="auto" w:sz="6" w:space="0"/>
              <w:left w:val="single" w:color="auto" w:sz="6" w:space="0"/>
              <w:bottom w:val="single" w:color="auto" w:sz="6" w:space="0"/>
              <w:right w:val="single" w:color="auto" w:sz="6" w:space="0"/>
            </w:tcBorders>
          </w:tcPr>
          <w:p w14:paraId="5EC2ED95">
            <w:pPr>
              <w:autoSpaceDE w:val="0"/>
              <w:autoSpaceDN w:val="0"/>
              <w:adjustRightInd w:val="0"/>
              <w:spacing w:line="360" w:lineRule="auto"/>
              <w:jc w:val="center"/>
              <w:rPr>
                <w:rFonts w:asciiTheme="majorEastAsia" w:hAnsiTheme="majorEastAsia" w:eastAsiaTheme="majorEastAsia" w:cstheme="majorEastAsia"/>
                <w:b/>
                <w:bCs/>
                <w:color w:val="auto"/>
                <w:sz w:val="24"/>
                <w:highlight w:val="none"/>
                <w:lang w:val="zh-CN"/>
              </w:rPr>
            </w:pPr>
          </w:p>
        </w:tc>
        <w:tc>
          <w:tcPr>
            <w:tcW w:w="1542" w:type="dxa"/>
            <w:tcBorders>
              <w:top w:val="single" w:color="auto" w:sz="6" w:space="0"/>
              <w:left w:val="single" w:color="auto" w:sz="6" w:space="0"/>
              <w:bottom w:val="single" w:color="auto" w:sz="6" w:space="0"/>
              <w:right w:val="single" w:color="auto" w:sz="6" w:space="0"/>
            </w:tcBorders>
          </w:tcPr>
          <w:p w14:paraId="02E636DE">
            <w:pPr>
              <w:autoSpaceDE w:val="0"/>
              <w:autoSpaceDN w:val="0"/>
              <w:adjustRightInd w:val="0"/>
              <w:spacing w:line="360" w:lineRule="auto"/>
              <w:jc w:val="center"/>
              <w:rPr>
                <w:rFonts w:asciiTheme="majorEastAsia" w:hAnsiTheme="majorEastAsia" w:eastAsiaTheme="majorEastAsia" w:cstheme="majorEastAsia"/>
                <w:b/>
                <w:bCs/>
                <w:color w:val="auto"/>
                <w:sz w:val="24"/>
                <w:highlight w:val="none"/>
                <w:lang w:val="zh-CN"/>
              </w:rPr>
            </w:pPr>
          </w:p>
        </w:tc>
      </w:tr>
      <w:tr w14:paraId="4860A5A1">
        <w:tblPrEx>
          <w:tblCellMar>
            <w:top w:w="0" w:type="dxa"/>
            <w:left w:w="108" w:type="dxa"/>
            <w:bottom w:w="0" w:type="dxa"/>
            <w:right w:w="108" w:type="dxa"/>
          </w:tblCellMar>
        </w:tblPrEx>
        <w:trPr>
          <w:trHeight w:val="640" w:hRule="atLeast"/>
        </w:trPr>
        <w:tc>
          <w:tcPr>
            <w:tcW w:w="816" w:type="dxa"/>
            <w:tcBorders>
              <w:top w:val="single" w:color="auto" w:sz="6" w:space="0"/>
              <w:left w:val="single" w:color="auto" w:sz="6" w:space="0"/>
              <w:bottom w:val="single" w:color="auto" w:sz="6" w:space="0"/>
              <w:right w:val="single" w:color="auto" w:sz="6" w:space="0"/>
            </w:tcBorders>
          </w:tcPr>
          <w:p w14:paraId="54095981">
            <w:pPr>
              <w:autoSpaceDE w:val="0"/>
              <w:autoSpaceDN w:val="0"/>
              <w:adjustRightInd w:val="0"/>
              <w:spacing w:line="360" w:lineRule="auto"/>
              <w:jc w:val="center"/>
              <w:rPr>
                <w:rFonts w:asciiTheme="majorEastAsia" w:hAnsiTheme="majorEastAsia" w:eastAsiaTheme="majorEastAsia" w:cstheme="majorEastAsia"/>
                <w:b/>
                <w:bCs/>
                <w:color w:val="auto"/>
                <w:sz w:val="24"/>
                <w:highlight w:val="none"/>
                <w:lang w:val="zh-CN"/>
              </w:rPr>
            </w:pPr>
          </w:p>
        </w:tc>
        <w:tc>
          <w:tcPr>
            <w:tcW w:w="1915" w:type="dxa"/>
            <w:tcBorders>
              <w:top w:val="single" w:color="auto" w:sz="6" w:space="0"/>
              <w:left w:val="single" w:color="auto" w:sz="6" w:space="0"/>
              <w:bottom w:val="single" w:color="auto" w:sz="6" w:space="0"/>
              <w:right w:val="single" w:color="auto" w:sz="6" w:space="0"/>
            </w:tcBorders>
          </w:tcPr>
          <w:p w14:paraId="200DB8B4">
            <w:pPr>
              <w:autoSpaceDE w:val="0"/>
              <w:autoSpaceDN w:val="0"/>
              <w:adjustRightInd w:val="0"/>
              <w:spacing w:line="360" w:lineRule="auto"/>
              <w:jc w:val="center"/>
              <w:rPr>
                <w:rFonts w:asciiTheme="majorEastAsia" w:hAnsiTheme="majorEastAsia" w:eastAsiaTheme="majorEastAsia" w:cstheme="majorEastAsia"/>
                <w:b/>
                <w:bCs/>
                <w:color w:val="auto"/>
                <w:sz w:val="24"/>
                <w:highlight w:val="none"/>
                <w:lang w:val="zh-CN"/>
              </w:rPr>
            </w:pPr>
          </w:p>
        </w:tc>
        <w:tc>
          <w:tcPr>
            <w:tcW w:w="2009" w:type="dxa"/>
            <w:tcBorders>
              <w:top w:val="single" w:color="auto" w:sz="6" w:space="0"/>
              <w:left w:val="single" w:color="auto" w:sz="6" w:space="0"/>
              <w:bottom w:val="single" w:color="auto" w:sz="6" w:space="0"/>
              <w:right w:val="single" w:color="auto" w:sz="6" w:space="0"/>
            </w:tcBorders>
          </w:tcPr>
          <w:p w14:paraId="0BF89DF4">
            <w:pPr>
              <w:autoSpaceDE w:val="0"/>
              <w:autoSpaceDN w:val="0"/>
              <w:adjustRightInd w:val="0"/>
              <w:spacing w:line="360" w:lineRule="auto"/>
              <w:jc w:val="center"/>
              <w:rPr>
                <w:rFonts w:asciiTheme="majorEastAsia" w:hAnsiTheme="majorEastAsia" w:eastAsiaTheme="majorEastAsia" w:cstheme="majorEastAsia"/>
                <w:b/>
                <w:bCs/>
                <w:color w:val="auto"/>
                <w:sz w:val="24"/>
                <w:highlight w:val="none"/>
                <w:lang w:val="zh-CN"/>
              </w:rPr>
            </w:pPr>
          </w:p>
        </w:tc>
        <w:tc>
          <w:tcPr>
            <w:tcW w:w="2862" w:type="dxa"/>
            <w:tcBorders>
              <w:top w:val="single" w:color="auto" w:sz="6" w:space="0"/>
              <w:left w:val="single" w:color="auto" w:sz="6" w:space="0"/>
              <w:bottom w:val="single" w:color="auto" w:sz="6" w:space="0"/>
              <w:right w:val="single" w:color="auto" w:sz="6" w:space="0"/>
            </w:tcBorders>
          </w:tcPr>
          <w:p w14:paraId="360A6A58">
            <w:pPr>
              <w:autoSpaceDE w:val="0"/>
              <w:autoSpaceDN w:val="0"/>
              <w:adjustRightInd w:val="0"/>
              <w:spacing w:line="360" w:lineRule="auto"/>
              <w:jc w:val="center"/>
              <w:rPr>
                <w:rFonts w:asciiTheme="majorEastAsia" w:hAnsiTheme="majorEastAsia" w:eastAsiaTheme="majorEastAsia" w:cstheme="majorEastAsia"/>
                <w:b/>
                <w:bCs/>
                <w:color w:val="auto"/>
                <w:sz w:val="24"/>
                <w:highlight w:val="none"/>
                <w:lang w:val="zh-CN"/>
              </w:rPr>
            </w:pPr>
          </w:p>
        </w:tc>
        <w:tc>
          <w:tcPr>
            <w:tcW w:w="1542" w:type="dxa"/>
            <w:tcBorders>
              <w:top w:val="single" w:color="auto" w:sz="6" w:space="0"/>
              <w:left w:val="single" w:color="auto" w:sz="6" w:space="0"/>
              <w:bottom w:val="single" w:color="auto" w:sz="6" w:space="0"/>
              <w:right w:val="single" w:color="auto" w:sz="6" w:space="0"/>
            </w:tcBorders>
          </w:tcPr>
          <w:p w14:paraId="3CB9BEDF">
            <w:pPr>
              <w:autoSpaceDE w:val="0"/>
              <w:autoSpaceDN w:val="0"/>
              <w:adjustRightInd w:val="0"/>
              <w:spacing w:line="360" w:lineRule="auto"/>
              <w:jc w:val="center"/>
              <w:rPr>
                <w:rFonts w:asciiTheme="majorEastAsia" w:hAnsiTheme="majorEastAsia" w:eastAsiaTheme="majorEastAsia" w:cstheme="majorEastAsia"/>
                <w:b/>
                <w:bCs/>
                <w:color w:val="auto"/>
                <w:sz w:val="24"/>
                <w:highlight w:val="none"/>
                <w:lang w:val="zh-CN"/>
              </w:rPr>
            </w:pPr>
          </w:p>
        </w:tc>
      </w:tr>
    </w:tbl>
    <w:p w14:paraId="2710B021">
      <w:pPr>
        <w:pStyle w:val="8"/>
        <w:spacing w:line="360" w:lineRule="auto"/>
        <w:ind w:firstLine="5612" w:firstLineChars="2300"/>
        <w:jc w:val="left"/>
        <w:rPr>
          <w:rFonts w:asciiTheme="majorEastAsia" w:hAnsiTheme="majorEastAsia" w:eastAsiaTheme="majorEastAsia" w:cstheme="majorEastAsia"/>
          <w:color w:val="auto"/>
          <w:sz w:val="24"/>
          <w:highlight w:val="none"/>
        </w:rPr>
      </w:pPr>
    </w:p>
    <w:p w14:paraId="7BCBAD34">
      <w:pPr>
        <w:pStyle w:val="8"/>
        <w:spacing w:line="360" w:lineRule="auto"/>
        <w:ind w:firstLine="5612" w:firstLineChars="2300"/>
        <w:jc w:val="left"/>
        <w:rPr>
          <w:rFonts w:asciiTheme="majorEastAsia" w:hAnsiTheme="majorEastAsia" w:eastAsiaTheme="majorEastAsia" w:cstheme="majorEastAsia"/>
          <w:color w:val="auto"/>
          <w:sz w:val="24"/>
          <w:highlight w:val="none"/>
        </w:rPr>
      </w:pPr>
    </w:p>
    <w:p w14:paraId="30C87D05">
      <w:pPr>
        <w:pStyle w:val="8"/>
        <w:spacing w:line="360" w:lineRule="auto"/>
        <w:ind w:firstLine="5612" w:firstLineChars="2300"/>
        <w:jc w:val="left"/>
        <w:rPr>
          <w:rFonts w:asciiTheme="majorEastAsia" w:hAnsiTheme="majorEastAsia" w:eastAsiaTheme="majorEastAsia" w:cstheme="majorEastAsia"/>
          <w:color w:val="auto"/>
          <w:sz w:val="24"/>
          <w:highlight w:val="none"/>
        </w:rPr>
      </w:pPr>
    </w:p>
    <w:p w14:paraId="5D150FC3">
      <w:pPr>
        <w:pStyle w:val="8"/>
        <w:spacing w:line="360" w:lineRule="auto"/>
        <w:ind w:firstLine="5612" w:firstLineChars="2300"/>
        <w:jc w:val="left"/>
        <w:rPr>
          <w:rFonts w:asciiTheme="majorEastAsia" w:hAnsiTheme="majorEastAsia" w:eastAsiaTheme="majorEastAsia" w:cstheme="majorEastAsia"/>
          <w:color w:val="auto"/>
          <w:sz w:val="24"/>
          <w:highlight w:val="none"/>
        </w:rPr>
      </w:pPr>
    </w:p>
    <w:p w14:paraId="604D8CDE">
      <w:pPr>
        <w:pStyle w:val="8"/>
        <w:spacing w:line="360" w:lineRule="auto"/>
        <w:ind w:firstLine="5612" w:firstLineChars="2300"/>
        <w:jc w:val="left"/>
        <w:rPr>
          <w:rFonts w:asciiTheme="majorEastAsia" w:hAnsiTheme="majorEastAsia" w:eastAsiaTheme="majorEastAsia" w:cstheme="majorEastAsia"/>
          <w:color w:val="auto"/>
          <w:sz w:val="24"/>
          <w:highlight w:val="none"/>
        </w:rPr>
      </w:pPr>
    </w:p>
    <w:p w14:paraId="6DBB4048">
      <w:pPr>
        <w:pStyle w:val="8"/>
        <w:spacing w:line="360" w:lineRule="auto"/>
        <w:ind w:firstLine="5612" w:firstLineChars="2300"/>
        <w:jc w:val="left"/>
        <w:rPr>
          <w:rFonts w:asciiTheme="majorEastAsia" w:hAnsiTheme="majorEastAsia" w:eastAsiaTheme="majorEastAsia" w:cstheme="majorEastAsia"/>
          <w:color w:val="auto"/>
          <w:sz w:val="24"/>
          <w:highlight w:val="none"/>
        </w:rPr>
      </w:pPr>
    </w:p>
    <w:p w14:paraId="02643BF0">
      <w:pPr>
        <w:pStyle w:val="2"/>
        <w:ind w:firstLine="0" w:firstLineChars="0"/>
        <w:rPr>
          <w:rFonts w:asciiTheme="majorEastAsia" w:hAnsiTheme="majorEastAsia" w:eastAsiaTheme="majorEastAsia" w:cstheme="majorEastAsia"/>
          <w:color w:val="auto"/>
          <w:kern w:val="0"/>
          <w:szCs w:val="21"/>
          <w:highlight w:val="none"/>
        </w:rPr>
      </w:pPr>
    </w:p>
    <w:p w14:paraId="00DE1605">
      <w:pPr>
        <w:pStyle w:val="2"/>
        <w:ind w:firstLine="0" w:firstLineChars="0"/>
        <w:rPr>
          <w:rFonts w:asciiTheme="majorEastAsia" w:hAnsiTheme="majorEastAsia" w:eastAsiaTheme="majorEastAsia" w:cstheme="majorEastAsia"/>
          <w:color w:val="auto"/>
          <w:kern w:val="0"/>
          <w:szCs w:val="21"/>
          <w:highlight w:val="none"/>
        </w:rPr>
      </w:pPr>
    </w:p>
    <w:p w14:paraId="54D191EF">
      <w:pPr>
        <w:pStyle w:val="2"/>
        <w:ind w:firstLine="0" w:firstLineChars="0"/>
        <w:rPr>
          <w:rFonts w:asciiTheme="majorEastAsia" w:hAnsiTheme="majorEastAsia" w:eastAsiaTheme="majorEastAsia" w:cstheme="majorEastAsia"/>
          <w:color w:val="auto"/>
          <w:kern w:val="0"/>
          <w:szCs w:val="21"/>
          <w:highlight w:val="none"/>
        </w:rPr>
      </w:pPr>
    </w:p>
    <w:p w14:paraId="129BB3A7">
      <w:pPr>
        <w:pStyle w:val="2"/>
        <w:ind w:firstLine="0" w:firstLineChars="0"/>
        <w:rPr>
          <w:rFonts w:asciiTheme="majorEastAsia" w:hAnsiTheme="majorEastAsia" w:eastAsiaTheme="majorEastAsia" w:cstheme="majorEastAsia"/>
          <w:color w:val="auto"/>
          <w:kern w:val="0"/>
          <w:szCs w:val="21"/>
          <w:highlight w:val="none"/>
        </w:rPr>
      </w:pPr>
    </w:p>
    <w:p w14:paraId="762D0356">
      <w:pPr>
        <w:pStyle w:val="2"/>
        <w:ind w:firstLine="0" w:firstLineChars="0"/>
        <w:rPr>
          <w:rFonts w:asciiTheme="majorEastAsia" w:hAnsiTheme="majorEastAsia" w:eastAsiaTheme="majorEastAsia" w:cstheme="majorEastAsia"/>
          <w:color w:val="auto"/>
          <w:kern w:val="0"/>
          <w:szCs w:val="21"/>
          <w:highlight w:val="none"/>
        </w:rPr>
      </w:pPr>
    </w:p>
    <w:p w14:paraId="7BAAD180">
      <w:pPr>
        <w:pStyle w:val="2"/>
        <w:ind w:firstLine="0" w:firstLineChars="0"/>
        <w:rPr>
          <w:rFonts w:asciiTheme="majorEastAsia" w:hAnsiTheme="majorEastAsia" w:eastAsiaTheme="majorEastAsia" w:cstheme="majorEastAsia"/>
          <w:color w:val="auto"/>
          <w:kern w:val="0"/>
          <w:szCs w:val="21"/>
          <w:highlight w:val="none"/>
        </w:rPr>
      </w:pPr>
    </w:p>
    <w:p w14:paraId="011866A5">
      <w:pPr>
        <w:pStyle w:val="2"/>
        <w:ind w:firstLine="0" w:firstLineChars="0"/>
        <w:rPr>
          <w:rFonts w:asciiTheme="majorEastAsia" w:hAnsiTheme="majorEastAsia" w:eastAsiaTheme="majorEastAsia" w:cstheme="majorEastAsia"/>
          <w:color w:val="auto"/>
          <w:kern w:val="0"/>
          <w:szCs w:val="21"/>
          <w:highlight w:val="none"/>
        </w:rPr>
      </w:pPr>
    </w:p>
    <w:p w14:paraId="5D7AF976">
      <w:pPr>
        <w:pStyle w:val="2"/>
        <w:ind w:firstLine="0" w:firstLineChars="0"/>
        <w:rPr>
          <w:rFonts w:asciiTheme="majorEastAsia" w:hAnsiTheme="majorEastAsia" w:eastAsiaTheme="majorEastAsia" w:cstheme="majorEastAsia"/>
          <w:color w:val="auto"/>
          <w:kern w:val="0"/>
          <w:szCs w:val="21"/>
          <w:highlight w:val="none"/>
        </w:rPr>
      </w:pPr>
    </w:p>
    <w:p w14:paraId="3E408056">
      <w:pPr>
        <w:spacing w:line="360" w:lineRule="auto"/>
        <w:ind w:right="420"/>
        <w:jc w:val="center"/>
        <w:rPr>
          <w:rFonts w:asciiTheme="majorEastAsia" w:hAnsiTheme="majorEastAsia" w:eastAsiaTheme="majorEastAsia" w:cstheme="majorEastAsia"/>
          <w:b/>
          <w:color w:val="auto"/>
          <w:sz w:val="28"/>
          <w:szCs w:val="30"/>
          <w:highlight w:val="none"/>
        </w:rPr>
      </w:pPr>
      <w:r>
        <w:rPr>
          <w:rFonts w:hint="eastAsia" w:asciiTheme="majorEastAsia" w:hAnsiTheme="majorEastAsia" w:eastAsiaTheme="majorEastAsia" w:cstheme="majorEastAsia"/>
          <w:b/>
          <w:color w:val="auto"/>
          <w:sz w:val="28"/>
          <w:szCs w:val="30"/>
          <w:highlight w:val="none"/>
        </w:rPr>
        <w:t>七、与采购项目相匹配的证书</w:t>
      </w:r>
    </w:p>
    <w:p w14:paraId="7DDE4360">
      <w:pPr>
        <w:pStyle w:val="2"/>
        <w:spacing w:line="360" w:lineRule="auto"/>
        <w:ind w:firstLine="490"/>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rPr>
        <w:t>复印或扫描件必须清晰，</w:t>
      </w:r>
      <w:r>
        <w:rPr>
          <w:rFonts w:hint="eastAsia" w:asciiTheme="majorEastAsia" w:hAnsiTheme="majorEastAsia" w:eastAsiaTheme="majorEastAsia" w:cstheme="majorEastAsia"/>
          <w:color w:val="auto"/>
          <w:sz w:val="24"/>
          <w:highlight w:val="none"/>
          <w:lang w:val="zh-CN"/>
        </w:rPr>
        <w:t>供应商应保证复印件或扫描件清晰可辨识相关内容，且真实有效。</w:t>
      </w:r>
    </w:p>
    <w:p w14:paraId="676F2F59">
      <w:pPr>
        <w:pStyle w:val="2"/>
        <w:spacing w:line="360" w:lineRule="auto"/>
        <w:ind w:firstLine="490"/>
        <w:rPr>
          <w:rFonts w:asciiTheme="majorEastAsia" w:hAnsiTheme="majorEastAsia" w:eastAsiaTheme="majorEastAsia" w:cstheme="majorEastAsia"/>
          <w:color w:val="auto"/>
          <w:sz w:val="24"/>
          <w:highlight w:val="none"/>
          <w:lang w:val="zh-CN"/>
        </w:rPr>
      </w:pPr>
    </w:p>
    <w:p w14:paraId="1D6C82F3">
      <w:pPr>
        <w:pStyle w:val="2"/>
        <w:ind w:firstLine="0" w:firstLineChars="0"/>
        <w:rPr>
          <w:rFonts w:asciiTheme="majorEastAsia" w:hAnsiTheme="majorEastAsia" w:eastAsiaTheme="majorEastAsia" w:cstheme="majorEastAsia"/>
          <w:color w:val="auto"/>
          <w:kern w:val="0"/>
          <w:szCs w:val="21"/>
          <w:highlight w:val="none"/>
        </w:rPr>
      </w:pPr>
    </w:p>
    <w:p w14:paraId="44A24F18">
      <w:pPr>
        <w:pStyle w:val="2"/>
        <w:ind w:firstLine="0" w:firstLineChars="0"/>
        <w:rPr>
          <w:rFonts w:asciiTheme="majorEastAsia" w:hAnsiTheme="majorEastAsia" w:eastAsiaTheme="majorEastAsia" w:cstheme="majorEastAsia"/>
          <w:color w:val="auto"/>
          <w:kern w:val="0"/>
          <w:szCs w:val="21"/>
          <w:highlight w:val="none"/>
        </w:rPr>
      </w:pPr>
    </w:p>
    <w:p w14:paraId="7B123831">
      <w:pPr>
        <w:pStyle w:val="2"/>
        <w:ind w:firstLine="0" w:firstLineChars="0"/>
        <w:rPr>
          <w:rFonts w:asciiTheme="majorEastAsia" w:hAnsiTheme="majorEastAsia" w:eastAsiaTheme="majorEastAsia" w:cstheme="majorEastAsia"/>
          <w:color w:val="auto"/>
          <w:kern w:val="0"/>
          <w:szCs w:val="21"/>
          <w:highlight w:val="none"/>
        </w:rPr>
      </w:pPr>
    </w:p>
    <w:p w14:paraId="49CE47CA">
      <w:pPr>
        <w:pStyle w:val="2"/>
        <w:ind w:firstLine="0" w:firstLineChars="0"/>
        <w:rPr>
          <w:rFonts w:asciiTheme="majorEastAsia" w:hAnsiTheme="majorEastAsia" w:eastAsiaTheme="majorEastAsia" w:cstheme="majorEastAsia"/>
          <w:color w:val="auto"/>
          <w:kern w:val="0"/>
          <w:szCs w:val="21"/>
          <w:highlight w:val="none"/>
        </w:rPr>
      </w:pPr>
    </w:p>
    <w:p w14:paraId="66337C6F">
      <w:pPr>
        <w:pStyle w:val="2"/>
        <w:ind w:firstLine="0" w:firstLineChars="0"/>
        <w:rPr>
          <w:rFonts w:asciiTheme="majorEastAsia" w:hAnsiTheme="majorEastAsia" w:eastAsiaTheme="majorEastAsia" w:cstheme="majorEastAsia"/>
          <w:color w:val="auto"/>
          <w:kern w:val="0"/>
          <w:szCs w:val="21"/>
          <w:highlight w:val="none"/>
        </w:rPr>
      </w:pPr>
    </w:p>
    <w:p w14:paraId="7CEA7DB9">
      <w:pPr>
        <w:pStyle w:val="2"/>
        <w:ind w:firstLine="0" w:firstLineChars="0"/>
        <w:rPr>
          <w:rFonts w:asciiTheme="majorEastAsia" w:hAnsiTheme="majorEastAsia" w:eastAsiaTheme="majorEastAsia" w:cstheme="majorEastAsia"/>
          <w:color w:val="auto"/>
          <w:kern w:val="0"/>
          <w:szCs w:val="21"/>
          <w:highlight w:val="none"/>
        </w:rPr>
      </w:pPr>
    </w:p>
    <w:p w14:paraId="5B196106">
      <w:pPr>
        <w:pStyle w:val="2"/>
        <w:ind w:firstLine="0" w:firstLineChars="0"/>
        <w:rPr>
          <w:rFonts w:asciiTheme="majorEastAsia" w:hAnsiTheme="majorEastAsia" w:eastAsiaTheme="majorEastAsia" w:cstheme="majorEastAsia"/>
          <w:color w:val="auto"/>
          <w:kern w:val="0"/>
          <w:szCs w:val="21"/>
          <w:highlight w:val="none"/>
        </w:rPr>
      </w:pPr>
    </w:p>
    <w:p w14:paraId="11458D4E">
      <w:pPr>
        <w:pStyle w:val="2"/>
        <w:ind w:firstLine="0" w:firstLineChars="0"/>
        <w:rPr>
          <w:rFonts w:asciiTheme="majorEastAsia" w:hAnsiTheme="majorEastAsia" w:eastAsiaTheme="majorEastAsia" w:cstheme="majorEastAsia"/>
          <w:color w:val="auto"/>
          <w:kern w:val="0"/>
          <w:szCs w:val="21"/>
          <w:highlight w:val="none"/>
        </w:rPr>
      </w:pPr>
    </w:p>
    <w:p w14:paraId="18F4E04E">
      <w:pPr>
        <w:pStyle w:val="2"/>
        <w:ind w:firstLine="0" w:firstLineChars="0"/>
        <w:rPr>
          <w:rFonts w:asciiTheme="majorEastAsia" w:hAnsiTheme="majorEastAsia" w:eastAsiaTheme="majorEastAsia" w:cstheme="majorEastAsia"/>
          <w:color w:val="auto"/>
          <w:kern w:val="0"/>
          <w:szCs w:val="21"/>
          <w:highlight w:val="none"/>
        </w:rPr>
      </w:pPr>
    </w:p>
    <w:p w14:paraId="2EC7EEA8">
      <w:pPr>
        <w:pStyle w:val="2"/>
        <w:ind w:firstLine="0" w:firstLineChars="0"/>
        <w:rPr>
          <w:rFonts w:asciiTheme="majorEastAsia" w:hAnsiTheme="majorEastAsia" w:eastAsiaTheme="majorEastAsia" w:cstheme="majorEastAsia"/>
          <w:color w:val="auto"/>
          <w:kern w:val="0"/>
          <w:szCs w:val="21"/>
          <w:highlight w:val="none"/>
        </w:rPr>
      </w:pPr>
    </w:p>
    <w:p w14:paraId="4F140D90">
      <w:pPr>
        <w:pStyle w:val="2"/>
        <w:ind w:firstLine="0" w:firstLineChars="0"/>
        <w:rPr>
          <w:rFonts w:asciiTheme="majorEastAsia" w:hAnsiTheme="majorEastAsia" w:eastAsiaTheme="majorEastAsia" w:cstheme="majorEastAsia"/>
          <w:color w:val="auto"/>
          <w:kern w:val="0"/>
          <w:szCs w:val="21"/>
          <w:highlight w:val="none"/>
        </w:rPr>
      </w:pPr>
    </w:p>
    <w:p w14:paraId="62668884">
      <w:pPr>
        <w:pStyle w:val="2"/>
        <w:ind w:firstLine="0" w:firstLineChars="0"/>
        <w:rPr>
          <w:rFonts w:asciiTheme="majorEastAsia" w:hAnsiTheme="majorEastAsia" w:eastAsiaTheme="majorEastAsia" w:cstheme="majorEastAsia"/>
          <w:color w:val="auto"/>
          <w:kern w:val="0"/>
          <w:szCs w:val="21"/>
          <w:highlight w:val="none"/>
        </w:rPr>
      </w:pPr>
    </w:p>
    <w:p w14:paraId="3CA45883">
      <w:pPr>
        <w:pStyle w:val="2"/>
        <w:ind w:firstLine="0" w:firstLineChars="0"/>
        <w:rPr>
          <w:rFonts w:asciiTheme="majorEastAsia" w:hAnsiTheme="majorEastAsia" w:eastAsiaTheme="majorEastAsia" w:cstheme="majorEastAsia"/>
          <w:color w:val="auto"/>
          <w:kern w:val="0"/>
          <w:szCs w:val="21"/>
          <w:highlight w:val="none"/>
        </w:rPr>
      </w:pPr>
    </w:p>
    <w:p w14:paraId="38B2597D">
      <w:pPr>
        <w:pStyle w:val="2"/>
        <w:ind w:firstLine="0" w:firstLineChars="0"/>
        <w:rPr>
          <w:rFonts w:asciiTheme="majorEastAsia" w:hAnsiTheme="majorEastAsia" w:eastAsiaTheme="majorEastAsia" w:cstheme="majorEastAsia"/>
          <w:color w:val="auto"/>
          <w:kern w:val="0"/>
          <w:szCs w:val="21"/>
          <w:highlight w:val="none"/>
        </w:rPr>
      </w:pPr>
    </w:p>
    <w:p w14:paraId="2BE7AC92">
      <w:pPr>
        <w:pStyle w:val="2"/>
        <w:ind w:firstLine="0" w:firstLineChars="0"/>
        <w:rPr>
          <w:rFonts w:asciiTheme="majorEastAsia" w:hAnsiTheme="majorEastAsia" w:eastAsiaTheme="majorEastAsia" w:cstheme="majorEastAsia"/>
          <w:color w:val="auto"/>
          <w:kern w:val="0"/>
          <w:szCs w:val="21"/>
          <w:highlight w:val="none"/>
        </w:rPr>
      </w:pPr>
    </w:p>
    <w:p w14:paraId="48FE8F5E">
      <w:pPr>
        <w:pStyle w:val="2"/>
        <w:ind w:firstLine="0" w:firstLineChars="0"/>
        <w:rPr>
          <w:rFonts w:asciiTheme="majorEastAsia" w:hAnsiTheme="majorEastAsia" w:eastAsiaTheme="majorEastAsia" w:cstheme="majorEastAsia"/>
          <w:color w:val="auto"/>
          <w:kern w:val="0"/>
          <w:szCs w:val="21"/>
          <w:highlight w:val="none"/>
        </w:rPr>
      </w:pPr>
    </w:p>
    <w:p w14:paraId="417ED74A">
      <w:pPr>
        <w:pStyle w:val="2"/>
        <w:ind w:firstLine="0" w:firstLineChars="0"/>
        <w:rPr>
          <w:rFonts w:asciiTheme="majorEastAsia" w:hAnsiTheme="majorEastAsia" w:eastAsiaTheme="majorEastAsia" w:cstheme="majorEastAsia"/>
          <w:color w:val="auto"/>
          <w:kern w:val="0"/>
          <w:szCs w:val="21"/>
          <w:highlight w:val="none"/>
        </w:rPr>
      </w:pPr>
    </w:p>
    <w:p w14:paraId="50309874">
      <w:pPr>
        <w:pStyle w:val="2"/>
        <w:ind w:firstLine="0" w:firstLineChars="0"/>
        <w:rPr>
          <w:rFonts w:asciiTheme="majorEastAsia" w:hAnsiTheme="majorEastAsia" w:eastAsiaTheme="majorEastAsia" w:cstheme="majorEastAsia"/>
          <w:color w:val="auto"/>
          <w:kern w:val="0"/>
          <w:szCs w:val="21"/>
          <w:highlight w:val="none"/>
        </w:rPr>
      </w:pPr>
    </w:p>
    <w:p w14:paraId="02982836">
      <w:pPr>
        <w:pStyle w:val="9"/>
        <w:spacing w:line="360" w:lineRule="auto"/>
        <w:ind w:left="429"/>
        <w:jc w:val="center"/>
        <w:rPr>
          <w:rFonts w:asciiTheme="majorEastAsia" w:hAnsiTheme="majorEastAsia" w:eastAsiaTheme="majorEastAsia" w:cstheme="majorEastAsia"/>
          <w:b/>
          <w:color w:val="auto"/>
          <w:sz w:val="28"/>
          <w:szCs w:val="36"/>
          <w:highlight w:val="none"/>
        </w:rPr>
      </w:pPr>
      <w:r>
        <w:rPr>
          <w:rFonts w:hint="eastAsia" w:asciiTheme="majorEastAsia" w:hAnsiTheme="majorEastAsia" w:eastAsiaTheme="majorEastAsia" w:cstheme="majorEastAsia"/>
          <w:b/>
          <w:color w:val="auto"/>
          <w:sz w:val="28"/>
          <w:szCs w:val="36"/>
          <w:highlight w:val="none"/>
        </w:rPr>
        <w:t>八、同类或类似业绩一览表</w:t>
      </w:r>
    </w:p>
    <w:tbl>
      <w:tblPr>
        <w:tblStyle w:val="20"/>
        <w:tblW w:w="8526"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517"/>
        <w:gridCol w:w="1144"/>
        <w:gridCol w:w="1144"/>
        <w:gridCol w:w="1144"/>
        <w:gridCol w:w="1144"/>
        <w:gridCol w:w="1144"/>
        <w:gridCol w:w="1144"/>
        <w:gridCol w:w="1145"/>
      </w:tblGrid>
      <w:tr w14:paraId="504D18B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517" w:type="dxa"/>
            <w:tcBorders>
              <w:top w:val="single" w:color="auto" w:sz="4" w:space="0"/>
            </w:tcBorders>
            <w:vAlign w:val="center"/>
          </w:tcPr>
          <w:p w14:paraId="304E7019">
            <w:pPr>
              <w:spacing w:line="360" w:lineRule="auto"/>
              <w:ind w:firstLine="122" w:firstLineChars="50"/>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序号</w:t>
            </w:r>
          </w:p>
        </w:tc>
        <w:tc>
          <w:tcPr>
            <w:tcW w:w="1144" w:type="dxa"/>
            <w:vAlign w:val="center"/>
          </w:tcPr>
          <w:p w14:paraId="2EFE0C8B">
            <w:pPr>
              <w:spacing w:line="360" w:lineRule="auto"/>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采购人</w:t>
            </w:r>
          </w:p>
        </w:tc>
        <w:tc>
          <w:tcPr>
            <w:tcW w:w="1144" w:type="dxa"/>
            <w:tcBorders>
              <w:right w:val="single" w:color="auto" w:sz="4" w:space="0"/>
            </w:tcBorders>
            <w:vAlign w:val="center"/>
          </w:tcPr>
          <w:p w14:paraId="605E4C09">
            <w:pPr>
              <w:spacing w:line="360" w:lineRule="auto"/>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项目名称</w:t>
            </w:r>
          </w:p>
        </w:tc>
        <w:tc>
          <w:tcPr>
            <w:tcW w:w="1144" w:type="dxa"/>
            <w:tcBorders>
              <w:right w:val="single" w:color="auto" w:sz="4" w:space="0"/>
            </w:tcBorders>
            <w:vAlign w:val="center"/>
          </w:tcPr>
          <w:p w14:paraId="1C14979D">
            <w:pPr>
              <w:spacing w:line="360" w:lineRule="auto"/>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合同主要服务内容</w:t>
            </w:r>
          </w:p>
        </w:tc>
        <w:tc>
          <w:tcPr>
            <w:tcW w:w="1144" w:type="dxa"/>
            <w:tcBorders>
              <w:left w:val="single" w:color="auto" w:sz="4" w:space="0"/>
              <w:right w:val="single" w:color="auto" w:sz="4" w:space="0"/>
            </w:tcBorders>
            <w:vAlign w:val="center"/>
          </w:tcPr>
          <w:p w14:paraId="0FFC1700">
            <w:pPr>
              <w:spacing w:line="360" w:lineRule="auto"/>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合同金额</w:t>
            </w:r>
          </w:p>
        </w:tc>
        <w:tc>
          <w:tcPr>
            <w:tcW w:w="1144" w:type="dxa"/>
            <w:tcBorders>
              <w:left w:val="single" w:color="auto" w:sz="4" w:space="0"/>
            </w:tcBorders>
            <w:vAlign w:val="center"/>
          </w:tcPr>
          <w:p w14:paraId="1190AEA4">
            <w:pPr>
              <w:spacing w:line="360" w:lineRule="auto"/>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供应商负责人</w:t>
            </w:r>
          </w:p>
        </w:tc>
        <w:tc>
          <w:tcPr>
            <w:tcW w:w="1144" w:type="dxa"/>
            <w:tcBorders>
              <w:left w:val="single" w:color="auto" w:sz="4" w:space="0"/>
            </w:tcBorders>
            <w:vAlign w:val="center"/>
          </w:tcPr>
          <w:p w14:paraId="34FABCC9">
            <w:pPr>
              <w:spacing w:line="360" w:lineRule="auto"/>
              <w:ind w:firstLine="122" w:firstLineChars="50"/>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合同签订时间</w:t>
            </w:r>
          </w:p>
        </w:tc>
        <w:tc>
          <w:tcPr>
            <w:tcW w:w="1145" w:type="dxa"/>
            <w:tcBorders>
              <w:left w:val="single" w:color="auto" w:sz="4" w:space="0"/>
            </w:tcBorders>
            <w:vAlign w:val="center"/>
          </w:tcPr>
          <w:p w14:paraId="648240F6">
            <w:pPr>
              <w:spacing w:line="360" w:lineRule="auto"/>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采购人评价意见</w:t>
            </w:r>
          </w:p>
        </w:tc>
      </w:tr>
      <w:tr w14:paraId="4DB96F2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517" w:type="dxa"/>
            <w:vAlign w:val="center"/>
          </w:tcPr>
          <w:p w14:paraId="2BA545E0">
            <w:pPr>
              <w:spacing w:line="360" w:lineRule="auto"/>
              <w:rPr>
                <w:rFonts w:asciiTheme="majorEastAsia" w:hAnsiTheme="majorEastAsia" w:eastAsiaTheme="majorEastAsia" w:cstheme="majorEastAsia"/>
                <w:color w:val="auto"/>
                <w:sz w:val="24"/>
                <w:highlight w:val="none"/>
              </w:rPr>
            </w:pPr>
          </w:p>
        </w:tc>
        <w:tc>
          <w:tcPr>
            <w:tcW w:w="1144" w:type="dxa"/>
            <w:vAlign w:val="center"/>
          </w:tcPr>
          <w:p w14:paraId="044468F4">
            <w:pPr>
              <w:spacing w:line="360" w:lineRule="auto"/>
              <w:rPr>
                <w:rFonts w:asciiTheme="majorEastAsia" w:hAnsiTheme="majorEastAsia" w:eastAsiaTheme="majorEastAsia" w:cstheme="majorEastAsia"/>
                <w:color w:val="auto"/>
                <w:sz w:val="24"/>
                <w:highlight w:val="none"/>
              </w:rPr>
            </w:pPr>
          </w:p>
        </w:tc>
        <w:tc>
          <w:tcPr>
            <w:tcW w:w="1144" w:type="dxa"/>
            <w:tcBorders>
              <w:right w:val="single" w:color="auto" w:sz="4" w:space="0"/>
            </w:tcBorders>
            <w:vAlign w:val="center"/>
          </w:tcPr>
          <w:p w14:paraId="24F5856D">
            <w:pPr>
              <w:spacing w:line="360" w:lineRule="auto"/>
              <w:rPr>
                <w:rFonts w:asciiTheme="majorEastAsia" w:hAnsiTheme="majorEastAsia" w:eastAsiaTheme="majorEastAsia" w:cstheme="majorEastAsia"/>
                <w:color w:val="auto"/>
                <w:sz w:val="24"/>
                <w:highlight w:val="none"/>
              </w:rPr>
            </w:pPr>
          </w:p>
        </w:tc>
        <w:tc>
          <w:tcPr>
            <w:tcW w:w="1144" w:type="dxa"/>
            <w:tcBorders>
              <w:right w:val="single" w:color="auto" w:sz="4" w:space="0"/>
            </w:tcBorders>
            <w:vAlign w:val="center"/>
          </w:tcPr>
          <w:p w14:paraId="48602392">
            <w:pPr>
              <w:spacing w:line="360" w:lineRule="auto"/>
              <w:rPr>
                <w:rFonts w:asciiTheme="majorEastAsia" w:hAnsiTheme="majorEastAsia" w:eastAsiaTheme="majorEastAsia" w:cstheme="majorEastAsia"/>
                <w:color w:val="auto"/>
                <w:sz w:val="24"/>
                <w:highlight w:val="none"/>
              </w:rPr>
            </w:pPr>
          </w:p>
        </w:tc>
        <w:tc>
          <w:tcPr>
            <w:tcW w:w="1144" w:type="dxa"/>
            <w:tcBorders>
              <w:left w:val="single" w:color="auto" w:sz="4" w:space="0"/>
              <w:right w:val="single" w:color="auto" w:sz="4" w:space="0"/>
            </w:tcBorders>
            <w:vAlign w:val="center"/>
          </w:tcPr>
          <w:p w14:paraId="48C661F9">
            <w:pPr>
              <w:spacing w:line="360" w:lineRule="auto"/>
              <w:rPr>
                <w:rFonts w:asciiTheme="majorEastAsia" w:hAnsiTheme="majorEastAsia" w:eastAsiaTheme="majorEastAsia" w:cstheme="majorEastAsia"/>
                <w:color w:val="auto"/>
                <w:sz w:val="24"/>
                <w:highlight w:val="none"/>
              </w:rPr>
            </w:pPr>
          </w:p>
        </w:tc>
        <w:tc>
          <w:tcPr>
            <w:tcW w:w="1144" w:type="dxa"/>
            <w:tcBorders>
              <w:left w:val="single" w:color="auto" w:sz="4" w:space="0"/>
            </w:tcBorders>
            <w:vAlign w:val="center"/>
          </w:tcPr>
          <w:p w14:paraId="022980B1">
            <w:pPr>
              <w:spacing w:line="360" w:lineRule="auto"/>
              <w:rPr>
                <w:rFonts w:asciiTheme="majorEastAsia" w:hAnsiTheme="majorEastAsia" w:eastAsiaTheme="majorEastAsia" w:cstheme="majorEastAsia"/>
                <w:color w:val="auto"/>
                <w:sz w:val="24"/>
                <w:highlight w:val="none"/>
              </w:rPr>
            </w:pPr>
          </w:p>
        </w:tc>
        <w:tc>
          <w:tcPr>
            <w:tcW w:w="1144" w:type="dxa"/>
            <w:tcBorders>
              <w:left w:val="single" w:color="auto" w:sz="4" w:space="0"/>
            </w:tcBorders>
            <w:vAlign w:val="center"/>
          </w:tcPr>
          <w:p w14:paraId="289EA20E">
            <w:pPr>
              <w:spacing w:line="360" w:lineRule="auto"/>
              <w:rPr>
                <w:rFonts w:asciiTheme="majorEastAsia" w:hAnsiTheme="majorEastAsia" w:eastAsiaTheme="majorEastAsia" w:cstheme="majorEastAsia"/>
                <w:color w:val="auto"/>
                <w:sz w:val="24"/>
                <w:highlight w:val="none"/>
              </w:rPr>
            </w:pPr>
          </w:p>
        </w:tc>
        <w:tc>
          <w:tcPr>
            <w:tcW w:w="1145" w:type="dxa"/>
            <w:tcBorders>
              <w:left w:val="single" w:color="auto" w:sz="4" w:space="0"/>
            </w:tcBorders>
            <w:vAlign w:val="center"/>
          </w:tcPr>
          <w:p w14:paraId="326C351F">
            <w:pPr>
              <w:spacing w:line="360" w:lineRule="auto"/>
              <w:rPr>
                <w:rFonts w:asciiTheme="majorEastAsia" w:hAnsiTheme="majorEastAsia" w:eastAsiaTheme="majorEastAsia" w:cstheme="majorEastAsia"/>
                <w:color w:val="auto"/>
                <w:sz w:val="24"/>
                <w:highlight w:val="none"/>
              </w:rPr>
            </w:pPr>
          </w:p>
        </w:tc>
      </w:tr>
      <w:tr w14:paraId="1A5BF5F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517" w:type="dxa"/>
            <w:vAlign w:val="center"/>
          </w:tcPr>
          <w:p w14:paraId="73607384">
            <w:pPr>
              <w:spacing w:line="360" w:lineRule="auto"/>
              <w:rPr>
                <w:rFonts w:asciiTheme="majorEastAsia" w:hAnsiTheme="majorEastAsia" w:eastAsiaTheme="majorEastAsia" w:cstheme="majorEastAsia"/>
                <w:color w:val="auto"/>
                <w:sz w:val="24"/>
                <w:highlight w:val="none"/>
              </w:rPr>
            </w:pPr>
          </w:p>
        </w:tc>
        <w:tc>
          <w:tcPr>
            <w:tcW w:w="1144" w:type="dxa"/>
            <w:vAlign w:val="center"/>
          </w:tcPr>
          <w:p w14:paraId="4ED3B9AA">
            <w:pPr>
              <w:spacing w:line="360" w:lineRule="auto"/>
              <w:rPr>
                <w:rFonts w:asciiTheme="majorEastAsia" w:hAnsiTheme="majorEastAsia" w:eastAsiaTheme="majorEastAsia" w:cstheme="majorEastAsia"/>
                <w:color w:val="auto"/>
                <w:sz w:val="24"/>
                <w:highlight w:val="none"/>
              </w:rPr>
            </w:pPr>
          </w:p>
        </w:tc>
        <w:tc>
          <w:tcPr>
            <w:tcW w:w="1144" w:type="dxa"/>
            <w:tcBorders>
              <w:right w:val="single" w:color="auto" w:sz="4" w:space="0"/>
            </w:tcBorders>
            <w:vAlign w:val="center"/>
          </w:tcPr>
          <w:p w14:paraId="689BA71B">
            <w:pPr>
              <w:spacing w:line="360" w:lineRule="auto"/>
              <w:rPr>
                <w:rFonts w:asciiTheme="majorEastAsia" w:hAnsiTheme="majorEastAsia" w:eastAsiaTheme="majorEastAsia" w:cstheme="majorEastAsia"/>
                <w:color w:val="auto"/>
                <w:sz w:val="24"/>
                <w:highlight w:val="none"/>
              </w:rPr>
            </w:pPr>
          </w:p>
        </w:tc>
        <w:tc>
          <w:tcPr>
            <w:tcW w:w="1144" w:type="dxa"/>
            <w:tcBorders>
              <w:right w:val="single" w:color="auto" w:sz="4" w:space="0"/>
            </w:tcBorders>
            <w:vAlign w:val="center"/>
          </w:tcPr>
          <w:p w14:paraId="5F410010">
            <w:pPr>
              <w:spacing w:line="360" w:lineRule="auto"/>
              <w:rPr>
                <w:rFonts w:asciiTheme="majorEastAsia" w:hAnsiTheme="majorEastAsia" w:eastAsiaTheme="majorEastAsia" w:cstheme="majorEastAsia"/>
                <w:color w:val="auto"/>
                <w:sz w:val="24"/>
                <w:highlight w:val="none"/>
              </w:rPr>
            </w:pPr>
          </w:p>
        </w:tc>
        <w:tc>
          <w:tcPr>
            <w:tcW w:w="1144" w:type="dxa"/>
            <w:tcBorders>
              <w:left w:val="single" w:color="auto" w:sz="4" w:space="0"/>
              <w:right w:val="single" w:color="auto" w:sz="4" w:space="0"/>
            </w:tcBorders>
            <w:vAlign w:val="center"/>
          </w:tcPr>
          <w:p w14:paraId="4D144AF4">
            <w:pPr>
              <w:spacing w:line="360" w:lineRule="auto"/>
              <w:rPr>
                <w:rFonts w:asciiTheme="majorEastAsia" w:hAnsiTheme="majorEastAsia" w:eastAsiaTheme="majorEastAsia" w:cstheme="majorEastAsia"/>
                <w:color w:val="auto"/>
                <w:sz w:val="24"/>
                <w:highlight w:val="none"/>
              </w:rPr>
            </w:pPr>
          </w:p>
        </w:tc>
        <w:tc>
          <w:tcPr>
            <w:tcW w:w="1144" w:type="dxa"/>
            <w:tcBorders>
              <w:left w:val="single" w:color="auto" w:sz="4" w:space="0"/>
            </w:tcBorders>
            <w:vAlign w:val="center"/>
          </w:tcPr>
          <w:p w14:paraId="6A279544">
            <w:pPr>
              <w:spacing w:line="360" w:lineRule="auto"/>
              <w:rPr>
                <w:rFonts w:asciiTheme="majorEastAsia" w:hAnsiTheme="majorEastAsia" w:eastAsiaTheme="majorEastAsia" w:cstheme="majorEastAsia"/>
                <w:color w:val="auto"/>
                <w:sz w:val="24"/>
                <w:highlight w:val="none"/>
              </w:rPr>
            </w:pPr>
          </w:p>
        </w:tc>
        <w:tc>
          <w:tcPr>
            <w:tcW w:w="1144" w:type="dxa"/>
            <w:tcBorders>
              <w:left w:val="single" w:color="auto" w:sz="4" w:space="0"/>
            </w:tcBorders>
            <w:vAlign w:val="center"/>
          </w:tcPr>
          <w:p w14:paraId="617DC8A2">
            <w:pPr>
              <w:spacing w:line="360" w:lineRule="auto"/>
              <w:rPr>
                <w:rFonts w:asciiTheme="majorEastAsia" w:hAnsiTheme="majorEastAsia" w:eastAsiaTheme="majorEastAsia" w:cstheme="majorEastAsia"/>
                <w:color w:val="auto"/>
                <w:sz w:val="24"/>
                <w:highlight w:val="none"/>
              </w:rPr>
            </w:pPr>
          </w:p>
        </w:tc>
        <w:tc>
          <w:tcPr>
            <w:tcW w:w="1145" w:type="dxa"/>
            <w:tcBorders>
              <w:left w:val="single" w:color="auto" w:sz="4" w:space="0"/>
            </w:tcBorders>
            <w:vAlign w:val="center"/>
          </w:tcPr>
          <w:p w14:paraId="2B752AEF">
            <w:pPr>
              <w:spacing w:line="360" w:lineRule="auto"/>
              <w:rPr>
                <w:rFonts w:asciiTheme="majorEastAsia" w:hAnsiTheme="majorEastAsia" w:eastAsiaTheme="majorEastAsia" w:cstheme="majorEastAsia"/>
                <w:color w:val="auto"/>
                <w:sz w:val="24"/>
                <w:highlight w:val="none"/>
              </w:rPr>
            </w:pPr>
          </w:p>
        </w:tc>
      </w:tr>
      <w:tr w14:paraId="733ED39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517" w:type="dxa"/>
            <w:vAlign w:val="center"/>
          </w:tcPr>
          <w:p w14:paraId="77DFD2EB">
            <w:pPr>
              <w:spacing w:line="360" w:lineRule="auto"/>
              <w:rPr>
                <w:rFonts w:asciiTheme="majorEastAsia" w:hAnsiTheme="majorEastAsia" w:eastAsiaTheme="majorEastAsia" w:cstheme="majorEastAsia"/>
                <w:color w:val="auto"/>
                <w:sz w:val="24"/>
                <w:highlight w:val="none"/>
              </w:rPr>
            </w:pPr>
          </w:p>
        </w:tc>
        <w:tc>
          <w:tcPr>
            <w:tcW w:w="1144" w:type="dxa"/>
            <w:vAlign w:val="center"/>
          </w:tcPr>
          <w:p w14:paraId="7D6FB611">
            <w:pPr>
              <w:spacing w:line="360" w:lineRule="auto"/>
              <w:rPr>
                <w:rFonts w:asciiTheme="majorEastAsia" w:hAnsiTheme="majorEastAsia" w:eastAsiaTheme="majorEastAsia" w:cstheme="majorEastAsia"/>
                <w:color w:val="auto"/>
                <w:sz w:val="24"/>
                <w:highlight w:val="none"/>
              </w:rPr>
            </w:pPr>
          </w:p>
        </w:tc>
        <w:tc>
          <w:tcPr>
            <w:tcW w:w="1144" w:type="dxa"/>
            <w:tcBorders>
              <w:right w:val="single" w:color="auto" w:sz="4" w:space="0"/>
            </w:tcBorders>
            <w:vAlign w:val="center"/>
          </w:tcPr>
          <w:p w14:paraId="7F524151">
            <w:pPr>
              <w:spacing w:line="360" w:lineRule="auto"/>
              <w:rPr>
                <w:rFonts w:asciiTheme="majorEastAsia" w:hAnsiTheme="majorEastAsia" w:eastAsiaTheme="majorEastAsia" w:cstheme="majorEastAsia"/>
                <w:color w:val="auto"/>
                <w:sz w:val="24"/>
                <w:highlight w:val="none"/>
              </w:rPr>
            </w:pPr>
          </w:p>
        </w:tc>
        <w:tc>
          <w:tcPr>
            <w:tcW w:w="1144" w:type="dxa"/>
            <w:tcBorders>
              <w:right w:val="single" w:color="auto" w:sz="4" w:space="0"/>
            </w:tcBorders>
            <w:vAlign w:val="center"/>
          </w:tcPr>
          <w:p w14:paraId="09497673">
            <w:pPr>
              <w:spacing w:line="360" w:lineRule="auto"/>
              <w:rPr>
                <w:rFonts w:asciiTheme="majorEastAsia" w:hAnsiTheme="majorEastAsia" w:eastAsiaTheme="majorEastAsia" w:cstheme="majorEastAsia"/>
                <w:color w:val="auto"/>
                <w:sz w:val="24"/>
                <w:highlight w:val="none"/>
              </w:rPr>
            </w:pPr>
          </w:p>
        </w:tc>
        <w:tc>
          <w:tcPr>
            <w:tcW w:w="1144" w:type="dxa"/>
            <w:tcBorders>
              <w:left w:val="single" w:color="auto" w:sz="4" w:space="0"/>
              <w:right w:val="single" w:color="auto" w:sz="4" w:space="0"/>
            </w:tcBorders>
            <w:vAlign w:val="center"/>
          </w:tcPr>
          <w:p w14:paraId="2BDE38A1">
            <w:pPr>
              <w:spacing w:line="360" w:lineRule="auto"/>
              <w:rPr>
                <w:rFonts w:asciiTheme="majorEastAsia" w:hAnsiTheme="majorEastAsia" w:eastAsiaTheme="majorEastAsia" w:cstheme="majorEastAsia"/>
                <w:color w:val="auto"/>
                <w:sz w:val="24"/>
                <w:highlight w:val="none"/>
              </w:rPr>
            </w:pPr>
          </w:p>
        </w:tc>
        <w:tc>
          <w:tcPr>
            <w:tcW w:w="1144" w:type="dxa"/>
            <w:tcBorders>
              <w:left w:val="single" w:color="auto" w:sz="4" w:space="0"/>
            </w:tcBorders>
            <w:vAlign w:val="center"/>
          </w:tcPr>
          <w:p w14:paraId="51362FCE">
            <w:pPr>
              <w:spacing w:line="360" w:lineRule="auto"/>
              <w:rPr>
                <w:rFonts w:asciiTheme="majorEastAsia" w:hAnsiTheme="majorEastAsia" w:eastAsiaTheme="majorEastAsia" w:cstheme="majorEastAsia"/>
                <w:color w:val="auto"/>
                <w:sz w:val="24"/>
                <w:highlight w:val="none"/>
              </w:rPr>
            </w:pPr>
          </w:p>
        </w:tc>
        <w:tc>
          <w:tcPr>
            <w:tcW w:w="1144" w:type="dxa"/>
            <w:tcBorders>
              <w:left w:val="single" w:color="auto" w:sz="4" w:space="0"/>
            </w:tcBorders>
            <w:vAlign w:val="center"/>
          </w:tcPr>
          <w:p w14:paraId="581F2641">
            <w:pPr>
              <w:spacing w:line="360" w:lineRule="auto"/>
              <w:rPr>
                <w:rFonts w:asciiTheme="majorEastAsia" w:hAnsiTheme="majorEastAsia" w:eastAsiaTheme="majorEastAsia" w:cstheme="majorEastAsia"/>
                <w:color w:val="auto"/>
                <w:sz w:val="24"/>
                <w:highlight w:val="none"/>
              </w:rPr>
            </w:pPr>
          </w:p>
        </w:tc>
        <w:tc>
          <w:tcPr>
            <w:tcW w:w="1145" w:type="dxa"/>
            <w:tcBorders>
              <w:left w:val="single" w:color="auto" w:sz="4" w:space="0"/>
            </w:tcBorders>
            <w:vAlign w:val="center"/>
          </w:tcPr>
          <w:p w14:paraId="228A0F23">
            <w:pPr>
              <w:spacing w:line="360" w:lineRule="auto"/>
              <w:rPr>
                <w:rFonts w:asciiTheme="majorEastAsia" w:hAnsiTheme="majorEastAsia" w:eastAsiaTheme="majorEastAsia" w:cstheme="majorEastAsia"/>
                <w:color w:val="auto"/>
                <w:sz w:val="24"/>
                <w:highlight w:val="none"/>
              </w:rPr>
            </w:pPr>
          </w:p>
        </w:tc>
      </w:tr>
      <w:tr w14:paraId="5CF9745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517" w:type="dxa"/>
            <w:vAlign w:val="center"/>
          </w:tcPr>
          <w:p w14:paraId="3231150A">
            <w:pPr>
              <w:spacing w:line="360" w:lineRule="auto"/>
              <w:rPr>
                <w:rFonts w:asciiTheme="majorEastAsia" w:hAnsiTheme="majorEastAsia" w:eastAsiaTheme="majorEastAsia" w:cstheme="majorEastAsia"/>
                <w:color w:val="auto"/>
                <w:sz w:val="24"/>
                <w:highlight w:val="none"/>
              </w:rPr>
            </w:pPr>
          </w:p>
        </w:tc>
        <w:tc>
          <w:tcPr>
            <w:tcW w:w="1144" w:type="dxa"/>
            <w:tcBorders>
              <w:right w:val="single" w:color="auto" w:sz="4" w:space="0"/>
            </w:tcBorders>
            <w:vAlign w:val="center"/>
          </w:tcPr>
          <w:p w14:paraId="67E32951">
            <w:pPr>
              <w:spacing w:line="360" w:lineRule="auto"/>
              <w:rPr>
                <w:rFonts w:asciiTheme="majorEastAsia" w:hAnsiTheme="majorEastAsia" w:eastAsiaTheme="majorEastAsia" w:cstheme="majorEastAsia"/>
                <w:color w:val="auto"/>
                <w:sz w:val="24"/>
                <w:highlight w:val="none"/>
              </w:rPr>
            </w:pPr>
          </w:p>
        </w:tc>
        <w:tc>
          <w:tcPr>
            <w:tcW w:w="1144" w:type="dxa"/>
            <w:tcBorders>
              <w:left w:val="single" w:color="auto" w:sz="4" w:space="0"/>
              <w:right w:val="single" w:color="auto" w:sz="4" w:space="0"/>
            </w:tcBorders>
            <w:vAlign w:val="center"/>
          </w:tcPr>
          <w:p w14:paraId="39AE3089">
            <w:pPr>
              <w:spacing w:line="360" w:lineRule="auto"/>
              <w:rPr>
                <w:rFonts w:asciiTheme="majorEastAsia" w:hAnsiTheme="majorEastAsia" w:eastAsiaTheme="majorEastAsia" w:cstheme="majorEastAsia"/>
                <w:color w:val="auto"/>
                <w:sz w:val="24"/>
                <w:highlight w:val="none"/>
              </w:rPr>
            </w:pPr>
          </w:p>
        </w:tc>
        <w:tc>
          <w:tcPr>
            <w:tcW w:w="1144" w:type="dxa"/>
            <w:tcBorders>
              <w:right w:val="single" w:color="auto" w:sz="4" w:space="0"/>
            </w:tcBorders>
            <w:vAlign w:val="center"/>
          </w:tcPr>
          <w:p w14:paraId="457C747C">
            <w:pPr>
              <w:spacing w:line="360" w:lineRule="auto"/>
              <w:rPr>
                <w:rFonts w:asciiTheme="majorEastAsia" w:hAnsiTheme="majorEastAsia" w:eastAsiaTheme="majorEastAsia" w:cstheme="majorEastAsia"/>
                <w:color w:val="auto"/>
                <w:sz w:val="24"/>
                <w:highlight w:val="none"/>
              </w:rPr>
            </w:pPr>
          </w:p>
        </w:tc>
        <w:tc>
          <w:tcPr>
            <w:tcW w:w="1144" w:type="dxa"/>
            <w:tcBorders>
              <w:left w:val="single" w:color="auto" w:sz="4" w:space="0"/>
              <w:right w:val="single" w:color="auto" w:sz="4" w:space="0"/>
            </w:tcBorders>
            <w:vAlign w:val="center"/>
          </w:tcPr>
          <w:p w14:paraId="212E35E5">
            <w:pPr>
              <w:spacing w:line="360" w:lineRule="auto"/>
              <w:rPr>
                <w:rFonts w:asciiTheme="majorEastAsia" w:hAnsiTheme="majorEastAsia" w:eastAsiaTheme="majorEastAsia" w:cstheme="majorEastAsia"/>
                <w:color w:val="auto"/>
                <w:sz w:val="24"/>
                <w:highlight w:val="none"/>
              </w:rPr>
            </w:pPr>
          </w:p>
        </w:tc>
        <w:tc>
          <w:tcPr>
            <w:tcW w:w="1144" w:type="dxa"/>
            <w:tcBorders>
              <w:left w:val="single" w:color="auto" w:sz="4" w:space="0"/>
            </w:tcBorders>
            <w:vAlign w:val="center"/>
          </w:tcPr>
          <w:p w14:paraId="459ADAD6">
            <w:pPr>
              <w:spacing w:line="360" w:lineRule="auto"/>
              <w:rPr>
                <w:rFonts w:asciiTheme="majorEastAsia" w:hAnsiTheme="majorEastAsia" w:eastAsiaTheme="majorEastAsia" w:cstheme="majorEastAsia"/>
                <w:color w:val="auto"/>
                <w:sz w:val="24"/>
                <w:highlight w:val="none"/>
              </w:rPr>
            </w:pPr>
          </w:p>
        </w:tc>
        <w:tc>
          <w:tcPr>
            <w:tcW w:w="1144" w:type="dxa"/>
            <w:tcBorders>
              <w:left w:val="single" w:color="auto" w:sz="4" w:space="0"/>
            </w:tcBorders>
            <w:vAlign w:val="center"/>
          </w:tcPr>
          <w:p w14:paraId="776096C4">
            <w:pPr>
              <w:spacing w:line="360" w:lineRule="auto"/>
              <w:rPr>
                <w:rFonts w:asciiTheme="majorEastAsia" w:hAnsiTheme="majorEastAsia" w:eastAsiaTheme="majorEastAsia" w:cstheme="majorEastAsia"/>
                <w:color w:val="auto"/>
                <w:sz w:val="24"/>
                <w:highlight w:val="none"/>
              </w:rPr>
            </w:pPr>
          </w:p>
        </w:tc>
        <w:tc>
          <w:tcPr>
            <w:tcW w:w="1145" w:type="dxa"/>
            <w:tcBorders>
              <w:left w:val="single" w:color="auto" w:sz="4" w:space="0"/>
            </w:tcBorders>
            <w:vAlign w:val="center"/>
          </w:tcPr>
          <w:p w14:paraId="0EDB0C2C">
            <w:pPr>
              <w:spacing w:line="360" w:lineRule="auto"/>
              <w:rPr>
                <w:rFonts w:asciiTheme="majorEastAsia" w:hAnsiTheme="majorEastAsia" w:eastAsiaTheme="majorEastAsia" w:cstheme="majorEastAsia"/>
                <w:color w:val="auto"/>
                <w:sz w:val="24"/>
                <w:highlight w:val="none"/>
              </w:rPr>
            </w:pPr>
          </w:p>
        </w:tc>
      </w:tr>
      <w:tr w14:paraId="45FF9A0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517" w:type="dxa"/>
            <w:tcBorders>
              <w:right w:val="single" w:color="auto" w:sz="4" w:space="0"/>
            </w:tcBorders>
            <w:vAlign w:val="center"/>
          </w:tcPr>
          <w:p w14:paraId="59B9616C">
            <w:pPr>
              <w:spacing w:line="360" w:lineRule="auto"/>
              <w:rPr>
                <w:rFonts w:asciiTheme="majorEastAsia" w:hAnsiTheme="majorEastAsia" w:eastAsiaTheme="majorEastAsia" w:cstheme="majorEastAsia"/>
                <w:color w:val="auto"/>
                <w:sz w:val="24"/>
                <w:highlight w:val="none"/>
              </w:rPr>
            </w:pPr>
          </w:p>
        </w:tc>
        <w:tc>
          <w:tcPr>
            <w:tcW w:w="1144" w:type="dxa"/>
            <w:tcBorders>
              <w:left w:val="single" w:color="auto" w:sz="4" w:space="0"/>
              <w:right w:val="single" w:color="auto" w:sz="4" w:space="0"/>
            </w:tcBorders>
            <w:vAlign w:val="center"/>
          </w:tcPr>
          <w:p w14:paraId="374A6B93">
            <w:pPr>
              <w:spacing w:line="360" w:lineRule="auto"/>
              <w:rPr>
                <w:rFonts w:asciiTheme="majorEastAsia" w:hAnsiTheme="majorEastAsia" w:eastAsiaTheme="majorEastAsia" w:cstheme="majorEastAsia"/>
                <w:color w:val="auto"/>
                <w:sz w:val="24"/>
                <w:highlight w:val="none"/>
              </w:rPr>
            </w:pPr>
          </w:p>
        </w:tc>
        <w:tc>
          <w:tcPr>
            <w:tcW w:w="1144" w:type="dxa"/>
            <w:tcBorders>
              <w:left w:val="single" w:color="auto" w:sz="4" w:space="0"/>
              <w:right w:val="single" w:color="auto" w:sz="4" w:space="0"/>
            </w:tcBorders>
            <w:vAlign w:val="center"/>
          </w:tcPr>
          <w:p w14:paraId="76498770">
            <w:pPr>
              <w:spacing w:line="360" w:lineRule="auto"/>
              <w:rPr>
                <w:rFonts w:asciiTheme="majorEastAsia" w:hAnsiTheme="majorEastAsia" w:eastAsiaTheme="majorEastAsia" w:cstheme="majorEastAsia"/>
                <w:color w:val="auto"/>
                <w:sz w:val="24"/>
                <w:highlight w:val="none"/>
              </w:rPr>
            </w:pPr>
          </w:p>
        </w:tc>
        <w:tc>
          <w:tcPr>
            <w:tcW w:w="1144" w:type="dxa"/>
            <w:tcBorders>
              <w:left w:val="single" w:color="auto" w:sz="4" w:space="0"/>
              <w:right w:val="single" w:color="auto" w:sz="4" w:space="0"/>
            </w:tcBorders>
            <w:vAlign w:val="center"/>
          </w:tcPr>
          <w:p w14:paraId="51A27ADF">
            <w:pPr>
              <w:spacing w:line="360" w:lineRule="auto"/>
              <w:rPr>
                <w:rFonts w:asciiTheme="majorEastAsia" w:hAnsiTheme="majorEastAsia" w:eastAsiaTheme="majorEastAsia" w:cstheme="majorEastAsia"/>
                <w:color w:val="auto"/>
                <w:sz w:val="24"/>
                <w:highlight w:val="none"/>
              </w:rPr>
            </w:pPr>
          </w:p>
        </w:tc>
        <w:tc>
          <w:tcPr>
            <w:tcW w:w="1144" w:type="dxa"/>
            <w:tcBorders>
              <w:left w:val="single" w:color="auto" w:sz="4" w:space="0"/>
              <w:right w:val="single" w:color="auto" w:sz="4" w:space="0"/>
            </w:tcBorders>
            <w:vAlign w:val="center"/>
          </w:tcPr>
          <w:p w14:paraId="1999BFA8">
            <w:pPr>
              <w:spacing w:line="360" w:lineRule="auto"/>
              <w:rPr>
                <w:rFonts w:asciiTheme="majorEastAsia" w:hAnsiTheme="majorEastAsia" w:eastAsiaTheme="majorEastAsia" w:cstheme="majorEastAsia"/>
                <w:color w:val="auto"/>
                <w:sz w:val="24"/>
                <w:highlight w:val="none"/>
              </w:rPr>
            </w:pPr>
          </w:p>
        </w:tc>
        <w:tc>
          <w:tcPr>
            <w:tcW w:w="1144" w:type="dxa"/>
            <w:tcBorders>
              <w:left w:val="single" w:color="auto" w:sz="4" w:space="0"/>
              <w:right w:val="single" w:color="auto" w:sz="4" w:space="0"/>
            </w:tcBorders>
            <w:vAlign w:val="center"/>
          </w:tcPr>
          <w:p w14:paraId="73A4B9D1">
            <w:pPr>
              <w:spacing w:line="360" w:lineRule="auto"/>
              <w:rPr>
                <w:rFonts w:asciiTheme="majorEastAsia" w:hAnsiTheme="majorEastAsia" w:eastAsiaTheme="majorEastAsia" w:cstheme="majorEastAsia"/>
                <w:color w:val="auto"/>
                <w:sz w:val="24"/>
                <w:highlight w:val="none"/>
              </w:rPr>
            </w:pPr>
          </w:p>
        </w:tc>
        <w:tc>
          <w:tcPr>
            <w:tcW w:w="1144" w:type="dxa"/>
            <w:tcBorders>
              <w:left w:val="single" w:color="auto" w:sz="4" w:space="0"/>
              <w:right w:val="single" w:color="auto" w:sz="4" w:space="0"/>
            </w:tcBorders>
            <w:vAlign w:val="center"/>
          </w:tcPr>
          <w:p w14:paraId="1AF8C1A5">
            <w:pPr>
              <w:spacing w:line="360" w:lineRule="auto"/>
              <w:rPr>
                <w:rFonts w:asciiTheme="majorEastAsia" w:hAnsiTheme="majorEastAsia" w:eastAsiaTheme="majorEastAsia" w:cstheme="majorEastAsia"/>
                <w:color w:val="auto"/>
                <w:sz w:val="24"/>
                <w:highlight w:val="none"/>
              </w:rPr>
            </w:pPr>
          </w:p>
        </w:tc>
        <w:tc>
          <w:tcPr>
            <w:tcW w:w="1145" w:type="dxa"/>
            <w:tcBorders>
              <w:left w:val="single" w:color="auto" w:sz="4" w:space="0"/>
            </w:tcBorders>
            <w:vAlign w:val="center"/>
          </w:tcPr>
          <w:p w14:paraId="27172904">
            <w:pPr>
              <w:spacing w:line="360" w:lineRule="auto"/>
              <w:rPr>
                <w:rFonts w:asciiTheme="majorEastAsia" w:hAnsiTheme="majorEastAsia" w:eastAsiaTheme="majorEastAsia" w:cstheme="majorEastAsia"/>
                <w:color w:val="auto"/>
                <w:sz w:val="24"/>
                <w:highlight w:val="none"/>
              </w:rPr>
            </w:pPr>
          </w:p>
        </w:tc>
      </w:tr>
      <w:tr w14:paraId="1ADC544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517" w:type="dxa"/>
            <w:vAlign w:val="center"/>
          </w:tcPr>
          <w:p w14:paraId="1971A925">
            <w:pPr>
              <w:spacing w:line="360" w:lineRule="auto"/>
              <w:rPr>
                <w:rFonts w:asciiTheme="majorEastAsia" w:hAnsiTheme="majorEastAsia" w:eastAsiaTheme="majorEastAsia" w:cstheme="majorEastAsia"/>
                <w:color w:val="auto"/>
                <w:sz w:val="24"/>
                <w:highlight w:val="none"/>
              </w:rPr>
            </w:pPr>
          </w:p>
        </w:tc>
        <w:tc>
          <w:tcPr>
            <w:tcW w:w="1144" w:type="dxa"/>
            <w:vAlign w:val="center"/>
          </w:tcPr>
          <w:p w14:paraId="11259837">
            <w:pPr>
              <w:spacing w:line="360" w:lineRule="auto"/>
              <w:rPr>
                <w:rFonts w:asciiTheme="majorEastAsia" w:hAnsiTheme="majorEastAsia" w:eastAsiaTheme="majorEastAsia" w:cstheme="majorEastAsia"/>
                <w:color w:val="auto"/>
                <w:sz w:val="24"/>
                <w:highlight w:val="none"/>
              </w:rPr>
            </w:pPr>
          </w:p>
        </w:tc>
        <w:tc>
          <w:tcPr>
            <w:tcW w:w="1144" w:type="dxa"/>
            <w:tcBorders>
              <w:right w:val="single" w:color="auto" w:sz="4" w:space="0"/>
            </w:tcBorders>
            <w:vAlign w:val="center"/>
          </w:tcPr>
          <w:p w14:paraId="126DA336">
            <w:pPr>
              <w:spacing w:line="360" w:lineRule="auto"/>
              <w:rPr>
                <w:rFonts w:asciiTheme="majorEastAsia" w:hAnsiTheme="majorEastAsia" w:eastAsiaTheme="majorEastAsia" w:cstheme="majorEastAsia"/>
                <w:color w:val="auto"/>
                <w:sz w:val="24"/>
                <w:highlight w:val="none"/>
              </w:rPr>
            </w:pPr>
          </w:p>
        </w:tc>
        <w:tc>
          <w:tcPr>
            <w:tcW w:w="1144" w:type="dxa"/>
            <w:tcBorders>
              <w:right w:val="single" w:color="auto" w:sz="4" w:space="0"/>
            </w:tcBorders>
            <w:vAlign w:val="center"/>
          </w:tcPr>
          <w:p w14:paraId="52776CA9">
            <w:pPr>
              <w:spacing w:line="360" w:lineRule="auto"/>
              <w:rPr>
                <w:rFonts w:asciiTheme="majorEastAsia" w:hAnsiTheme="majorEastAsia" w:eastAsiaTheme="majorEastAsia" w:cstheme="majorEastAsia"/>
                <w:color w:val="auto"/>
                <w:sz w:val="24"/>
                <w:highlight w:val="none"/>
              </w:rPr>
            </w:pPr>
          </w:p>
        </w:tc>
        <w:tc>
          <w:tcPr>
            <w:tcW w:w="1144" w:type="dxa"/>
            <w:tcBorders>
              <w:left w:val="single" w:color="auto" w:sz="4" w:space="0"/>
              <w:right w:val="single" w:color="auto" w:sz="4" w:space="0"/>
            </w:tcBorders>
            <w:vAlign w:val="center"/>
          </w:tcPr>
          <w:p w14:paraId="4D9F0296">
            <w:pPr>
              <w:spacing w:line="360" w:lineRule="auto"/>
              <w:rPr>
                <w:rFonts w:asciiTheme="majorEastAsia" w:hAnsiTheme="majorEastAsia" w:eastAsiaTheme="majorEastAsia" w:cstheme="majorEastAsia"/>
                <w:color w:val="auto"/>
                <w:sz w:val="24"/>
                <w:highlight w:val="none"/>
              </w:rPr>
            </w:pPr>
          </w:p>
        </w:tc>
        <w:tc>
          <w:tcPr>
            <w:tcW w:w="1144" w:type="dxa"/>
            <w:tcBorders>
              <w:left w:val="single" w:color="auto" w:sz="4" w:space="0"/>
            </w:tcBorders>
            <w:vAlign w:val="center"/>
          </w:tcPr>
          <w:p w14:paraId="47DFE3C0">
            <w:pPr>
              <w:spacing w:line="360" w:lineRule="auto"/>
              <w:rPr>
                <w:rFonts w:asciiTheme="majorEastAsia" w:hAnsiTheme="majorEastAsia" w:eastAsiaTheme="majorEastAsia" w:cstheme="majorEastAsia"/>
                <w:color w:val="auto"/>
                <w:sz w:val="24"/>
                <w:highlight w:val="none"/>
              </w:rPr>
            </w:pPr>
          </w:p>
        </w:tc>
        <w:tc>
          <w:tcPr>
            <w:tcW w:w="1144" w:type="dxa"/>
            <w:tcBorders>
              <w:left w:val="single" w:color="auto" w:sz="4" w:space="0"/>
              <w:right w:val="single" w:color="auto" w:sz="4" w:space="0"/>
            </w:tcBorders>
            <w:vAlign w:val="center"/>
          </w:tcPr>
          <w:p w14:paraId="34DB8FE1">
            <w:pPr>
              <w:spacing w:line="360" w:lineRule="auto"/>
              <w:rPr>
                <w:rFonts w:asciiTheme="majorEastAsia" w:hAnsiTheme="majorEastAsia" w:eastAsiaTheme="majorEastAsia" w:cstheme="majorEastAsia"/>
                <w:color w:val="auto"/>
                <w:sz w:val="24"/>
                <w:highlight w:val="none"/>
              </w:rPr>
            </w:pPr>
          </w:p>
        </w:tc>
        <w:tc>
          <w:tcPr>
            <w:tcW w:w="1145" w:type="dxa"/>
            <w:tcBorders>
              <w:left w:val="single" w:color="auto" w:sz="4" w:space="0"/>
            </w:tcBorders>
            <w:vAlign w:val="center"/>
          </w:tcPr>
          <w:p w14:paraId="586E0858">
            <w:pPr>
              <w:spacing w:line="360" w:lineRule="auto"/>
              <w:rPr>
                <w:rFonts w:asciiTheme="majorEastAsia" w:hAnsiTheme="majorEastAsia" w:eastAsiaTheme="majorEastAsia" w:cstheme="majorEastAsia"/>
                <w:color w:val="auto"/>
                <w:sz w:val="24"/>
                <w:highlight w:val="none"/>
              </w:rPr>
            </w:pPr>
          </w:p>
        </w:tc>
      </w:tr>
      <w:tr w14:paraId="7EF2E3E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517" w:type="dxa"/>
            <w:vAlign w:val="center"/>
          </w:tcPr>
          <w:p w14:paraId="78DCE8DD">
            <w:pPr>
              <w:spacing w:line="360" w:lineRule="auto"/>
              <w:rPr>
                <w:rFonts w:asciiTheme="majorEastAsia" w:hAnsiTheme="majorEastAsia" w:eastAsiaTheme="majorEastAsia" w:cstheme="majorEastAsia"/>
                <w:color w:val="auto"/>
                <w:sz w:val="24"/>
                <w:highlight w:val="none"/>
              </w:rPr>
            </w:pPr>
          </w:p>
        </w:tc>
        <w:tc>
          <w:tcPr>
            <w:tcW w:w="1144" w:type="dxa"/>
            <w:vAlign w:val="center"/>
          </w:tcPr>
          <w:p w14:paraId="29D6BF36">
            <w:pPr>
              <w:spacing w:line="360" w:lineRule="auto"/>
              <w:rPr>
                <w:rFonts w:asciiTheme="majorEastAsia" w:hAnsiTheme="majorEastAsia" w:eastAsiaTheme="majorEastAsia" w:cstheme="majorEastAsia"/>
                <w:color w:val="auto"/>
                <w:sz w:val="24"/>
                <w:highlight w:val="none"/>
              </w:rPr>
            </w:pPr>
          </w:p>
        </w:tc>
        <w:tc>
          <w:tcPr>
            <w:tcW w:w="1144" w:type="dxa"/>
            <w:tcBorders>
              <w:right w:val="single" w:color="auto" w:sz="4" w:space="0"/>
            </w:tcBorders>
            <w:vAlign w:val="center"/>
          </w:tcPr>
          <w:p w14:paraId="3E6D927B">
            <w:pPr>
              <w:spacing w:line="360" w:lineRule="auto"/>
              <w:rPr>
                <w:rFonts w:asciiTheme="majorEastAsia" w:hAnsiTheme="majorEastAsia" w:eastAsiaTheme="majorEastAsia" w:cstheme="majorEastAsia"/>
                <w:color w:val="auto"/>
                <w:sz w:val="24"/>
                <w:highlight w:val="none"/>
              </w:rPr>
            </w:pPr>
          </w:p>
        </w:tc>
        <w:tc>
          <w:tcPr>
            <w:tcW w:w="1144" w:type="dxa"/>
            <w:tcBorders>
              <w:right w:val="single" w:color="auto" w:sz="4" w:space="0"/>
            </w:tcBorders>
            <w:vAlign w:val="center"/>
          </w:tcPr>
          <w:p w14:paraId="51F9B40C">
            <w:pPr>
              <w:spacing w:line="360" w:lineRule="auto"/>
              <w:rPr>
                <w:rFonts w:asciiTheme="majorEastAsia" w:hAnsiTheme="majorEastAsia" w:eastAsiaTheme="majorEastAsia" w:cstheme="majorEastAsia"/>
                <w:color w:val="auto"/>
                <w:sz w:val="24"/>
                <w:highlight w:val="none"/>
              </w:rPr>
            </w:pPr>
          </w:p>
        </w:tc>
        <w:tc>
          <w:tcPr>
            <w:tcW w:w="1144" w:type="dxa"/>
            <w:tcBorders>
              <w:left w:val="single" w:color="auto" w:sz="4" w:space="0"/>
              <w:right w:val="single" w:color="auto" w:sz="4" w:space="0"/>
            </w:tcBorders>
            <w:vAlign w:val="center"/>
          </w:tcPr>
          <w:p w14:paraId="3055CDE5">
            <w:pPr>
              <w:spacing w:line="360" w:lineRule="auto"/>
              <w:rPr>
                <w:rFonts w:asciiTheme="majorEastAsia" w:hAnsiTheme="majorEastAsia" w:eastAsiaTheme="majorEastAsia" w:cstheme="majorEastAsia"/>
                <w:color w:val="auto"/>
                <w:sz w:val="24"/>
                <w:highlight w:val="none"/>
              </w:rPr>
            </w:pPr>
          </w:p>
        </w:tc>
        <w:tc>
          <w:tcPr>
            <w:tcW w:w="1144" w:type="dxa"/>
            <w:tcBorders>
              <w:left w:val="single" w:color="auto" w:sz="4" w:space="0"/>
            </w:tcBorders>
            <w:vAlign w:val="center"/>
          </w:tcPr>
          <w:p w14:paraId="2FA34BEC">
            <w:pPr>
              <w:spacing w:line="360" w:lineRule="auto"/>
              <w:rPr>
                <w:rFonts w:asciiTheme="majorEastAsia" w:hAnsiTheme="majorEastAsia" w:eastAsiaTheme="majorEastAsia" w:cstheme="majorEastAsia"/>
                <w:color w:val="auto"/>
                <w:sz w:val="24"/>
                <w:highlight w:val="none"/>
              </w:rPr>
            </w:pPr>
          </w:p>
        </w:tc>
        <w:tc>
          <w:tcPr>
            <w:tcW w:w="1144" w:type="dxa"/>
            <w:tcBorders>
              <w:left w:val="single" w:color="auto" w:sz="4" w:space="0"/>
              <w:right w:val="single" w:color="auto" w:sz="4" w:space="0"/>
            </w:tcBorders>
            <w:vAlign w:val="center"/>
          </w:tcPr>
          <w:p w14:paraId="2214C618">
            <w:pPr>
              <w:spacing w:line="360" w:lineRule="auto"/>
              <w:rPr>
                <w:rFonts w:asciiTheme="majorEastAsia" w:hAnsiTheme="majorEastAsia" w:eastAsiaTheme="majorEastAsia" w:cstheme="majorEastAsia"/>
                <w:color w:val="auto"/>
                <w:sz w:val="24"/>
                <w:highlight w:val="none"/>
              </w:rPr>
            </w:pPr>
          </w:p>
        </w:tc>
        <w:tc>
          <w:tcPr>
            <w:tcW w:w="1145" w:type="dxa"/>
            <w:tcBorders>
              <w:left w:val="single" w:color="auto" w:sz="4" w:space="0"/>
            </w:tcBorders>
            <w:vAlign w:val="center"/>
          </w:tcPr>
          <w:p w14:paraId="1BFD29C7">
            <w:pPr>
              <w:spacing w:line="360" w:lineRule="auto"/>
              <w:rPr>
                <w:rFonts w:asciiTheme="majorEastAsia" w:hAnsiTheme="majorEastAsia" w:eastAsiaTheme="majorEastAsia" w:cstheme="majorEastAsia"/>
                <w:color w:val="auto"/>
                <w:sz w:val="24"/>
                <w:highlight w:val="none"/>
              </w:rPr>
            </w:pPr>
          </w:p>
        </w:tc>
      </w:tr>
      <w:tr w14:paraId="4EE8228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517" w:type="dxa"/>
            <w:vAlign w:val="center"/>
          </w:tcPr>
          <w:p w14:paraId="1ECDC654">
            <w:pPr>
              <w:spacing w:line="360" w:lineRule="auto"/>
              <w:rPr>
                <w:rFonts w:asciiTheme="majorEastAsia" w:hAnsiTheme="majorEastAsia" w:eastAsiaTheme="majorEastAsia" w:cstheme="majorEastAsia"/>
                <w:color w:val="auto"/>
                <w:sz w:val="24"/>
                <w:highlight w:val="none"/>
              </w:rPr>
            </w:pPr>
          </w:p>
        </w:tc>
        <w:tc>
          <w:tcPr>
            <w:tcW w:w="1144" w:type="dxa"/>
            <w:vAlign w:val="center"/>
          </w:tcPr>
          <w:p w14:paraId="4F3757A0">
            <w:pPr>
              <w:spacing w:line="360" w:lineRule="auto"/>
              <w:rPr>
                <w:rFonts w:asciiTheme="majorEastAsia" w:hAnsiTheme="majorEastAsia" w:eastAsiaTheme="majorEastAsia" w:cstheme="majorEastAsia"/>
                <w:color w:val="auto"/>
                <w:sz w:val="24"/>
                <w:highlight w:val="none"/>
              </w:rPr>
            </w:pPr>
          </w:p>
        </w:tc>
        <w:tc>
          <w:tcPr>
            <w:tcW w:w="1144" w:type="dxa"/>
            <w:tcBorders>
              <w:right w:val="single" w:color="auto" w:sz="4" w:space="0"/>
            </w:tcBorders>
            <w:vAlign w:val="center"/>
          </w:tcPr>
          <w:p w14:paraId="5DE382F7">
            <w:pPr>
              <w:spacing w:line="360" w:lineRule="auto"/>
              <w:rPr>
                <w:rFonts w:asciiTheme="majorEastAsia" w:hAnsiTheme="majorEastAsia" w:eastAsiaTheme="majorEastAsia" w:cstheme="majorEastAsia"/>
                <w:color w:val="auto"/>
                <w:sz w:val="24"/>
                <w:highlight w:val="none"/>
              </w:rPr>
            </w:pPr>
          </w:p>
        </w:tc>
        <w:tc>
          <w:tcPr>
            <w:tcW w:w="1144" w:type="dxa"/>
            <w:tcBorders>
              <w:right w:val="single" w:color="auto" w:sz="4" w:space="0"/>
            </w:tcBorders>
            <w:vAlign w:val="center"/>
          </w:tcPr>
          <w:p w14:paraId="505A852B">
            <w:pPr>
              <w:spacing w:line="360" w:lineRule="auto"/>
              <w:rPr>
                <w:rFonts w:asciiTheme="majorEastAsia" w:hAnsiTheme="majorEastAsia" w:eastAsiaTheme="majorEastAsia" w:cstheme="majorEastAsia"/>
                <w:color w:val="auto"/>
                <w:sz w:val="24"/>
                <w:highlight w:val="none"/>
              </w:rPr>
            </w:pPr>
          </w:p>
        </w:tc>
        <w:tc>
          <w:tcPr>
            <w:tcW w:w="1144" w:type="dxa"/>
            <w:tcBorders>
              <w:left w:val="single" w:color="auto" w:sz="4" w:space="0"/>
              <w:right w:val="single" w:color="auto" w:sz="4" w:space="0"/>
            </w:tcBorders>
            <w:vAlign w:val="center"/>
          </w:tcPr>
          <w:p w14:paraId="58422EAF">
            <w:pPr>
              <w:spacing w:line="360" w:lineRule="auto"/>
              <w:rPr>
                <w:rFonts w:asciiTheme="majorEastAsia" w:hAnsiTheme="majorEastAsia" w:eastAsiaTheme="majorEastAsia" w:cstheme="majorEastAsia"/>
                <w:color w:val="auto"/>
                <w:sz w:val="24"/>
                <w:highlight w:val="none"/>
              </w:rPr>
            </w:pPr>
          </w:p>
        </w:tc>
        <w:tc>
          <w:tcPr>
            <w:tcW w:w="1144" w:type="dxa"/>
            <w:tcBorders>
              <w:left w:val="single" w:color="auto" w:sz="4" w:space="0"/>
            </w:tcBorders>
            <w:vAlign w:val="center"/>
          </w:tcPr>
          <w:p w14:paraId="556152FF">
            <w:pPr>
              <w:spacing w:line="360" w:lineRule="auto"/>
              <w:rPr>
                <w:rFonts w:asciiTheme="majorEastAsia" w:hAnsiTheme="majorEastAsia" w:eastAsiaTheme="majorEastAsia" w:cstheme="majorEastAsia"/>
                <w:color w:val="auto"/>
                <w:sz w:val="24"/>
                <w:highlight w:val="none"/>
              </w:rPr>
            </w:pPr>
          </w:p>
        </w:tc>
        <w:tc>
          <w:tcPr>
            <w:tcW w:w="1144" w:type="dxa"/>
            <w:tcBorders>
              <w:left w:val="single" w:color="auto" w:sz="4" w:space="0"/>
              <w:right w:val="single" w:color="auto" w:sz="4" w:space="0"/>
            </w:tcBorders>
            <w:vAlign w:val="center"/>
          </w:tcPr>
          <w:p w14:paraId="6A34D417">
            <w:pPr>
              <w:spacing w:line="360" w:lineRule="auto"/>
              <w:rPr>
                <w:rFonts w:asciiTheme="majorEastAsia" w:hAnsiTheme="majorEastAsia" w:eastAsiaTheme="majorEastAsia" w:cstheme="majorEastAsia"/>
                <w:color w:val="auto"/>
                <w:sz w:val="24"/>
                <w:highlight w:val="none"/>
              </w:rPr>
            </w:pPr>
          </w:p>
        </w:tc>
        <w:tc>
          <w:tcPr>
            <w:tcW w:w="1145" w:type="dxa"/>
            <w:tcBorders>
              <w:left w:val="single" w:color="auto" w:sz="4" w:space="0"/>
            </w:tcBorders>
            <w:vAlign w:val="center"/>
          </w:tcPr>
          <w:p w14:paraId="136B8F0B">
            <w:pPr>
              <w:spacing w:line="360" w:lineRule="auto"/>
              <w:rPr>
                <w:rFonts w:asciiTheme="majorEastAsia" w:hAnsiTheme="majorEastAsia" w:eastAsiaTheme="majorEastAsia" w:cstheme="majorEastAsia"/>
                <w:color w:val="auto"/>
                <w:sz w:val="24"/>
                <w:highlight w:val="none"/>
              </w:rPr>
            </w:pPr>
          </w:p>
        </w:tc>
      </w:tr>
    </w:tbl>
    <w:p w14:paraId="1C88E8AF">
      <w:pPr>
        <w:pStyle w:val="8"/>
        <w:spacing w:line="360" w:lineRule="auto"/>
        <w:ind w:firstLine="428" w:firstLineChars="200"/>
        <w:jc w:val="left"/>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注：按业绩一览表所列顺序依次排列提供合同复印件，复印或扫描件须加盖投标供应商公章。</w:t>
      </w:r>
    </w:p>
    <w:p w14:paraId="4BD75F16">
      <w:pPr>
        <w:pStyle w:val="8"/>
        <w:spacing w:line="360" w:lineRule="auto"/>
        <w:ind w:firstLine="428" w:firstLineChars="200"/>
        <w:jc w:val="left"/>
        <w:rPr>
          <w:rFonts w:asciiTheme="majorEastAsia" w:hAnsiTheme="majorEastAsia" w:eastAsiaTheme="majorEastAsia" w:cstheme="majorEastAsia"/>
          <w:color w:val="auto"/>
          <w:highlight w:val="none"/>
        </w:rPr>
      </w:pPr>
    </w:p>
    <w:p w14:paraId="6D3F11DD">
      <w:pPr>
        <w:pStyle w:val="8"/>
        <w:spacing w:line="360" w:lineRule="auto"/>
        <w:ind w:firstLine="428" w:firstLineChars="200"/>
        <w:jc w:val="left"/>
        <w:rPr>
          <w:rFonts w:asciiTheme="majorEastAsia" w:hAnsiTheme="majorEastAsia" w:eastAsiaTheme="majorEastAsia" w:cstheme="majorEastAsia"/>
          <w:color w:val="auto"/>
          <w:highlight w:val="none"/>
        </w:rPr>
      </w:pPr>
    </w:p>
    <w:p w14:paraId="1BC73D42">
      <w:pPr>
        <w:pStyle w:val="2"/>
        <w:ind w:firstLine="0" w:firstLineChars="0"/>
        <w:rPr>
          <w:rFonts w:asciiTheme="majorEastAsia" w:hAnsiTheme="majorEastAsia" w:eastAsiaTheme="majorEastAsia" w:cstheme="majorEastAsia"/>
          <w:color w:val="auto"/>
          <w:kern w:val="0"/>
          <w:szCs w:val="21"/>
          <w:highlight w:val="none"/>
        </w:rPr>
      </w:pPr>
    </w:p>
    <w:p w14:paraId="14953B4E">
      <w:pPr>
        <w:pStyle w:val="2"/>
        <w:ind w:firstLine="0" w:firstLineChars="0"/>
        <w:rPr>
          <w:rFonts w:asciiTheme="majorEastAsia" w:hAnsiTheme="majorEastAsia" w:eastAsiaTheme="majorEastAsia" w:cstheme="majorEastAsia"/>
          <w:color w:val="auto"/>
          <w:kern w:val="0"/>
          <w:szCs w:val="21"/>
          <w:highlight w:val="none"/>
        </w:rPr>
      </w:pPr>
    </w:p>
    <w:p w14:paraId="005EAD7B">
      <w:pPr>
        <w:pStyle w:val="2"/>
        <w:ind w:firstLine="0" w:firstLineChars="0"/>
        <w:rPr>
          <w:rFonts w:asciiTheme="majorEastAsia" w:hAnsiTheme="majorEastAsia" w:eastAsiaTheme="majorEastAsia" w:cstheme="majorEastAsia"/>
          <w:color w:val="auto"/>
          <w:kern w:val="0"/>
          <w:szCs w:val="21"/>
          <w:highlight w:val="none"/>
        </w:rPr>
      </w:pPr>
    </w:p>
    <w:p w14:paraId="359F03A3">
      <w:pPr>
        <w:pStyle w:val="2"/>
        <w:ind w:firstLine="0" w:firstLineChars="0"/>
        <w:rPr>
          <w:rFonts w:asciiTheme="majorEastAsia" w:hAnsiTheme="majorEastAsia" w:eastAsiaTheme="majorEastAsia" w:cstheme="majorEastAsia"/>
          <w:color w:val="auto"/>
          <w:kern w:val="0"/>
          <w:szCs w:val="21"/>
          <w:highlight w:val="none"/>
        </w:rPr>
      </w:pPr>
    </w:p>
    <w:p w14:paraId="7E8F7F10">
      <w:pPr>
        <w:pStyle w:val="2"/>
        <w:ind w:firstLine="0" w:firstLineChars="0"/>
        <w:rPr>
          <w:rFonts w:asciiTheme="majorEastAsia" w:hAnsiTheme="majorEastAsia" w:eastAsiaTheme="majorEastAsia" w:cstheme="majorEastAsia"/>
          <w:color w:val="auto"/>
          <w:kern w:val="0"/>
          <w:szCs w:val="21"/>
          <w:highlight w:val="none"/>
        </w:rPr>
      </w:pPr>
    </w:p>
    <w:p w14:paraId="7746DBCF">
      <w:pPr>
        <w:pStyle w:val="2"/>
        <w:ind w:firstLine="0" w:firstLineChars="0"/>
        <w:rPr>
          <w:rFonts w:asciiTheme="majorEastAsia" w:hAnsiTheme="majorEastAsia" w:eastAsiaTheme="majorEastAsia" w:cstheme="majorEastAsia"/>
          <w:color w:val="auto"/>
          <w:kern w:val="0"/>
          <w:szCs w:val="21"/>
          <w:highlight w:val="none"/>
        </w:rPr>
      </w:pPr>
    </w:p>
    <w:p w14:paraId="747FA7B6">
      <w:pPr>
        <w:pStyle w:val="2"/>
        <w:ind w:firstLine="0" w:firstLineChars="0"/>
        <w:rPr>
          <w:rFonts w:asciiTheme="majorEastAsia" w:hAnsiTheme="majorEastAsia" w:eastAsiaTheme="majorEastAsia" w:cstheme="majorEastAsia"/>
          <w:color w:val="auto"/>
          <w:kern w:val="0"/>
          <w:szCs w:val="21"/>
          <w:highlight w:val="none"/>
        </w:rPr>
      </w:pPr>
    </w:p>
    <w:p w14:paraId="2C06DC7A">
      <w:pPr>
        <w:pStyle w:val="2"/>
        <w:ind w:firstLine="0" w:firstLineChars="0"/>
        <w:rPr>
          <w:rFonts w:asciiTheme="majorEastAsia" w:hAnsiTheme="majorEastAsia" w:eastAsiaTheme="majorEastAsia" w:cstheme="majorEastAsia"/>
          <w:color w:val="auto"/>
          <w:kern w:val="0"/>
          <w:szCs w:val="21"/>
          <w:highlight w:val="none"/>
        </w:rPr>
      </w:pPr>
    </w:p>
    <w:p w14:paraId="359D7BAE">
      <w:pPr>
        <w:pStyle w:val="2"/>
        <w:ind w:firstLine="0" w:firstLineChars="0"/>
        <w:rPr>
          <w:rFonts w:asciiTheme="majorEastAsia" w:hAnsiTheme="majorEastAsia" w:eastAsiaTheme="majorEastAsia" w:cstheme="majorEastAsia"/>
          <w:color w:val="auto"/>
          <w:kern w:val="0"/>
          <w:szCs w:val="21"/>
          <w:highlight w:val="none"/>
        </w:rPr>
      </w:pPr>
    </w:p>
    <w:p w14:paraId="5DEBEB19">
      <w:pPr>
        <w:pStyle w:val="9"/>
        <w:spacing w:line="360" w:lineRule="auto"/>
        <w:ind w:left="429"/>
        <w:jc w:val="center"/>
        <w:rPr>
          <w:rFonts w:asciiTheme="majorEastAsia" w:hAnsiTheme="majorEastAsia" w:eastAsiaTheme="majorEastAsia" w:cstheme="majorEastAsia"/>
          <w:b/>
          <w:color w:val="auto"/>
          <w:sz w:val="36"/>
          <w:szCs w:val="36"/>
          <w:highlight w:val="none"/>
        </w:rPr>
      </w:pPr>
      <w:r>
        <w:rPr>
          <w:rFonts w:hint="eastAsia" w:asciiTheme="majorEastAsia" w:hAnsiTheme="majorEastAsia" w:eastAsiaTheme="majorEastAsia" w:cstheme="majorEastAsia"/>
          <w:b/>
          <w:color w:val="auto"/>
          <w:sz w:val="36"/>
          <w:szCs w:val="36"/>
          <w:highlight w:val="none"/>
        </w:rPr>
        <w:t>九、拟投入人员配置情况表</w:t>
      </w:r>
    </w:p>
    <w:p w14:paraId="20EBF18D">
      <w:pPr>
        <w:pStyle w:val="8"/>
        <w:spacing w:line="360" w:lineRule="auto"/>
        <w:ind w:firstLine="488" w:firstLineChars="200"/>
        <w:jc w:val="left"/>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备注：拟投入人员相关证件及社保缴纳凭证的复印或扫描件（按拟投入情况表所列顺序依次排列，复印或扫描件须加盖投标供应商印章），格式自拟</w:t>
      </w:r>
    </w:p>
    <w:p w14:paraId="5DB7051F">
      <w:pPr>
        <w:pStyle w:val="2"/>
        <w:ind w:firstLine="0" w:firstLineChars="0"/>
        <w:rPr>
          <w:rFonts w:asciiTheme="majorEastAsia" w:hAnsiTheme="majorEastAsia" w:eastAsiaTheme="majorEastAsia" w:cstheme="majorEastAsia"/>
          <w:color w:val="auto"/>
          <w:kern w:val="0"/>
          <w:szCs w:val="21"/>
          <w:highlight w:val="none"/>
        </w:rPr>
        <w:sectPr>
          <w:headerReference r:id="rId4" w:type="default"/>
          <w:footerReference r:id="rId5" w:type="default"/>
          <w:pgSz w:w="11906" w:h="16838"/>
          <w:pgMar w:top="1440" w:right="1276" w:bottom="1440" w:left="1417" w:header="851" w:footer="992" w:gutter="0"/>
          <w:cols w:space="0" w:num="1"/>
          <w:docGrid w:type="linesAndChars" w:linePitch="317" w:charSpace="871"/>
        </w:sectPr>
      </w:pPr>
    </w:p>
    <w:p w14:paraId="453A7EE2">
      <w:pPr>
        <w:pStyle w:val="8"/>
        <w:spacing w:line="360" w:lineRule="auto"/>
        <w:ind w:firstLine="568" w:firstLineChars="200"/>
        <w:jc w:val="center"/>
        <w:rPr>
          <w:rFonts w:asciiTheme="majorEastAsia" w:hAnsiTheme="majorEastAsia" w:eastAsiaTheme="majorEastAsia" w:cstheme="majorEastAsia"/>
          <w:color w:val="auto"/>
          <w:sz w:val="28"/>
          <w:highlight w:val="none"/>
        </w:rPr>
      </w:pPr>
      <w:r>
        <w:rPr>
          <w:rFonts w:hint="eastAsia" w:asciiTheme="majorEastAsia" w:hAnsiTheme="majorEastAsia" w:eastAsiaTheme="majorEastAsia" w:cstheme="majorEastAsia"/>
          <w:color w:val="auto"/>
          <w:sz w:val="28"/>
          <w:highlight w:val="none"/>
        </w:rPr>
        <w:t>十、供应商遵守政府采购法规的声明</w:t>
      </w:r>
    </w:p>
    <w:p w14:paraId="1A0BDFE4">
      <w:pPr>
        <w:spacing w:line="360" w:lineRule="auto"/>
        <w:jc w:val="center"/>
        <w:rPr>
          <w:rFonts w:asciiTheme="majorEastAsia" w:hAnsiTheme="majorEastAsia" w:eastAsiaTheme="majorEastAsia" w:cstheme="majorEastAsia"/>
          <w:b/>
          <w:color w:val="auto"/>
          <w:sz w:val="28"/>
          <w:szCs w:val="28"/>
          <w:highlight w:val="none"/>
        </w:rPr>
      </w:pPr>
      <w:r>
        <w:rPr>
          <w:rFonts w:hint="eastAsia" w:asciiTheme="majorEastAsia" w:hAnsiTheme="majorEastAsia" w:eastAsiaTheme="majorEastAsia" w:cstheme="majorEastAsia"/>
          <w:b/>
          <w:color w:val="auto"/>
          <w:sz w:val="36"/>
          <w:szCs w:val="36"/>
          <w:highlight w:val="none"/>
        </w:rPr>
        <w:t>供应商遵守政府采购法规的声明承诺函</w:t>
      </w:r>
    </w:p>
    <w:p w14:paraId="10FC4866">
      <w:pPr>
        <w:spacing w:before="158" w:beforeLines="50" w:after="158" w:afterLines="50" w:line="360" w:lineRule="auto"/>
        <w:rPr>
          <w:rFonts w:asciiTheme="majorEastAsia" w:hAnsiTheme="majorEastAsia" w:eastAsiaTheme="majorEastAsia" w:cstheme="majorEastAsia"/>
          <w:color w:val="auto"/>
          <w:sz w:val="24"/>
          <w:highlight w:val="none"/>
          <w:u w:val="single"/>
        </w:rPr>
      </w:pPr>
      <w:r>
        <w:rPr>
          <w:rFonts w:hint="eastAsia" w:asciiTheme="majorEastAsia" w:hAnsiTheme="majorEastAsia" w:eastAsiaTheme="majorEastAsia" w:cstheme="majorEastAsia"/>
          <w:color w:val="auto"/>
          <w:sz w:val="24"/>
          <w:highlight w:val="none"/>
        </w:rPr>
        <w:t>致：</w:t>
      </w:r>
      <w:r>
        <w:rPr>
          <w:rFonts w:hint="eastAsia" w:asciiTheme="majorEastAsia" w:hAnsiTheme="majorEastAsia" w:eastAsiaTheme="majorEastAsia" w:cstheme="majorEastAsia"/>
          <w:color w:val="auto"/>
          <w:sz w:val="24"/>
          <w:highlight w:val="none"/>
          <w:u w:val="single"/>
        </w:rPr>
        <w:t>采购人名称</w:t>
      </w:r>
    </w:p>
    <w:p w14:paraId="3D6BF108">
      <w:pPr>
        <w:spacing w:before="158" w:beforeLines="50" w:after="158" w:afterLines="50" w:line="360" w:lineRule="auto"/>
        <w:ind w:firstLine="477" w:firstLineChars="196"/>
        <w:rPr>
          <w:rFonts w:asciiTheme="majorEastAsia" w:hAnsiTheme="majorEastAsia" w:eastAsiaTheme="majorEastAsia" w:cstheme="majorEastAsia"/>
          <w:color w:val="auto"/>
          <w:sz w:val="24"/>
          <w:highlight w:val="none"/>
          <w:u w:val="single"/>
        </w:rPr>
      </w:pPr>
      <w:r>
        <w:rPr>
          <w:rFonts w:hint="eastAsia" w:asciiTheme="majorEastAsia" w:hAnsiTheme="majorEastAsia" w:eastAsiaTheme="majorEastAsia" w:cstheme="majorEastAsia"/>
          <w:color w:val="auto"/>
          <w:sz w:val="24"/>
          <w:highlight w:val="none"/>
        </w:rPr>
        <w:t>我公司自愿参加</w:t>
      </w:r>
      <w:r>
        <w:rPr>
          <w:rFonts w:hint="eastAsia" w:asciiTheme="majorEastAsia" w:hAnsiTheme="majorEastAsia" w:eastAsiaTheme="majorEastAsia" w:cstheme="majorEastAsia"/>
          <w:color w:val="auto"/>
          <w:sz w:val="24"/>
          <w:highlight w:val="none"/>
          <w:u w:val="single"/>
        </w:rPr>
        <w:t xml:space="preserve">     （采购人名称）   </w:t>
      </w:r>
      <w:r>
        <w:rPr>
          <w:rFonts w:hint="eastAsia" w:asciiTheme="majorEastAsia" w:hAnsiTheme="majorEastAsia" w:eastAsiaTheme="majorEastAsia" w:cstheme="majorEastAsia"/>
          <w:color w:val="auto"/>
          <w:sz w:val="24"/>
          <w:highlight w:val="none"/>
        </w:rPr>
        <w:t xml:space="preserve">的 </w:t>
      </w:r>
      <w:r>
        <w:rPr>
          <w:rFonts w:hint="eastAsia" w:asciiTheme="majorEastAsia" w:hAnsiTheme="majorEastAsia" w:eastAsiaTheme="majorEastAsia" w:cstheme="majorEastAsia"/>
          <w:color w:val="auto"/>
          <w:sz w:val="24"/>
          <w:highlight w:val="none"/>
          <w:u w:val="single"/>
        </w:rPr>
        <w:t xml:space="preserve">   （项目名称、项目编号）</w:t>
      </w:r>
      <w:r>
        <w:rPr>
          <w:rFonts w:hint="eastAsia" w:asciiTheme="majorEastAsia" w:hAnsiTheme="majorEastAsia" w:eastAsiaTheme="majorEastAsia" w:cstheme="majorEastAsia"/>
          <w:color w:val="auto"/>
          <w:sz w:val="24"/>
          <w:highlight w:val="none"/>
        </w:rPr>
        <w:t>的投标，并慎重作出如下声明承诺：</w:t>
      </w:r>
    </w:p>
    <w:p w14:paraId="53B9BCB8">
      <w:pPr>
        <w:spacing w:before="158" w:beforeLines="50" w:after="158" w:afterLines="50" w:line="360" w:lineRule="auto"/>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一、针对《中华人民共和国政府采购法》</w:t>
      </w:r>
    </w:p>
    <w:p w14:paraId="22B80E2E">
      <w:pPr>
        <w:pStyle w:val="18"/>
        <w:widowControl/>
        <w:shd w:val="clear" w:color="auto" w:fill="FFFFFF"/>
        <w:spacing w:before="158" w:beforeLines="50" w:beforeAutospacing="0" w:after="158" w:afterLines="50" w:afterAutospacing="0"/>
        <w:ind w:firstLine="420"/>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第七十七条 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2EEAD64B">
      <w:pPr>
        <w:pStyle w:val="18"/>
        <w:widowControl/>
        <w:shd w:val="clear" w:color="auto" w:fill="FFFFFF"/>
        <w:spacing w:before="158" w:beforeLines="50" w:beforeAutospacing="0" w:after="158" w:afterLines="50" w:afterAutospacing="0"/>
        <w:ind w:firstLine="420"/>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(一)提供虚假材料谋取中标、成交的;</w:t>
      </w:r>
    </w:p>
    <w:p w14:paraId="79CCDBD7">
      <w:pPr>
        <w:pStyle w:val="18"/>
        <w:widowControl/>
        <w:shd w:val="clear" w:color="auto" w:fill="FFFFFF"/>
        <w:spacing w:before="158" w:beforeLines="50" w:beforeAutospacing="0" w:after="158" w:afterLines="50" w:afterAutospacing="0"/>
        <w:ind w:firstLine="420"/>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(二)采取不正当手段诋毁、排挤其他供应商的;</w:t>
      </w:r>
    </w:p>
    <w:p w14:paraId="44DF194C">
      <w:pPr>
        <w:pStyle w:val="18"/>
        <w:widowControl/>
        <w:shd w:val="clear" w:color="auto" w:fill="FFFFFF"/>
        <w:spacing w:before="158" w:beforeLines="50" w:beforeAutospacing="0" w:after="158" w:afterLines="50" w:afterAutospacing="0"/>
        <w:ind w:firstLine="420"/>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(三)与采购人、其他供应商或者采购代理机构恶意串通的;</w:t>
      </w:r>
    </w:p>
    <w:p w14:paraId="50F272D7">
      <w:pPr>
        <w:pStyle w:val="18"/>
        <w:widowControl/>
        <w:shd w:val="clear" w:color="auto" w:fill="FFFFFF"/>
        <w:spacing w:before="158" w:beforeLines="50" w:beforeAutospacing="0" w:after="158" w:afterLines="50" w:afterAutospacing="0"/>
        <w:ind w:firstLine="420"/>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(四)向采购人、采购代理机构行贿或者提供其他不正当利益的;</w:t>
      </w:r>
    </w:p>
    <w:p w14:paraId="0649FED9">
      <w:pPr>
        <w:pStyle w:val="18"/>
        <w:widowControl/>
        <w:shd w:val="clear" w:color="auto" w:fill="FFFFFF"/>
        <w:spacing w:before="158" w:beforeLines="50" w:beforeAutospacing="0" w:after="158" w:afterLines="50" w:afterAutospacing="0"/>
        <w:ind w:firstLine="420"/>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(五)在招标采购过程中与采购人进行协商谈判的;</w:t>
      </w:r>
    </w:p>
    <w:p w14:paraId="145815D9">
      <w:pPr>
        <w:pStyle w:val="18"/>
        <w:widowControl/>
        <w:shd w:val="clear" w:color="auto" w:fill="FFFFFF"/>
        <w:spacing w:before="158" w:beforeLines="50" w:beforeAutospacing="0" w:after="158" w:afterLines="50" w:afterAutospacing="0"/>
        <w:ind w:firstLine="420"/>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(六)拒绝有关部门监督检查或者提供虚假情况的。</w:t>
      </w:r>
    </w:p>
    <w:p w14:paraId="1B8E8153">
      <w:pPr>
        <w:pStyle w:val="18"/>
        <w:widowControl/>
        <w:shd w:val="clear" w:color="auto" w:fill="FFFFFF"/>
        <w:spacing w:before="158" w:beforeLines="50" w:beforeAutospacing="0" w:after="158" w:afterLines="50" w:afterAutospacing="0"/>
        <w:ind w:firstLine="420"/>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供应商有前款第(一)至(五)项情形之一的，中标、成交无效。</w:t>
      </w:r>
    </w:p>
    <w:p w14:paraId="57297DB9">
      <w:pPr>
        <w:spacing w:before="158" w:beforeLines="50" w:after="158" w:afterLines="50" w:line="360" w:lineRule="auto"/>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二、《中华人民共和国政府采购法实施条例》</w:t>
      </w:r>
    </w:p>
    <w:p w14:paraId="63975243">
      <w:pPr>
        <w:pStyle w:val="18"/>
        <w:widowControl/>
        <w:shd w:val="clear" w:color="auto" w:fill="FFFFFF"/>
        <w:spacing w:before="158" w:beforeLines="50" w:beforeAutospacing="0" w:after="158" w:afterLines="50" w:afterAutospacing="0"/>
        <w:ind w:firstLine="420"/>
        <w:jc w:val="left"/>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第七十二条　供应商有下列情形之一的，依照政府采购法第七十七条第一款的规定追究法律责任：</w:t>
      </w:r>
    </w:p>
    <w:p w14:paraId="0DE5CDFB">
      <w:pPr>
        <w:pStyle w:val="18"/>
        <w:widowControl/>
        <w:shd w:val="clear" w:color="auto" w:fill="FFFFFF"/>
        <w:spacing w:before="158" w:beforeLines="50" w:beforeAutospacing="0" w:after="158" w:afterLines="50" w:afterAutospacing="0"/>
        <w:ind w:firstLine="420"/>
        <w:jc w:val="left"/>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(一)向评标委员会、竞争性谈判小组或者询价小组成员行贿或者提供其他不正当利益;</w:t>
      </w:r>
    </w:p>
    <w:p w14:paraId="20F6E472">
      <w:pPr>
        <w:pStyle w:val="18"/>
        <w:widowControl/>
        <w:shd w:val="clear" w:color="auto" w:fill="FFFFFF"/>
        <w:spacing w:before="158" w:beforeLines="50" w:beforeAutospacing="0" w:after="158" w:afterLines="50" w:afterAutospacing="0"/>
        <w:ind w:firstLine="420"/>
        <w:jc w:val="left"/>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(二)中标或者成交后无正当理由拒不与采购人签订政府采购合同;</w:t>
      </w:r>
    </w:p>
    <w:p w14:paraId="6679D3D5">
      <w:pPr>
        <w:pStyle w:val="18"/>
        <w:widowControl/>
        <w:shd w:val="clear" w:color="auto" w:fill="FFFFFF"/>
        <w:spacing w:before="158" w:beforeLines="50" w:beforeAutospacing="0" w:after="158" w:afterLines="50" w:afterAutospacing="0"/>
        <w:ind w:firstLine="420"/>
        <w:jc w:val="left"/>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(三)未按照采购文件确定的事项签订政府采购合同;</w:t>
      </w:r>
    </w:p>
    <w:p w14:paraId="2BC7A56C">
      <w:pPr>
        <w:pStyle w:val="18"/>
        <w:widowControl/>
        <w:shd w:val="clear" w:color="auto" w:fill="FFFFFF"/>
        <w:spacing w:before="158" w:beforeLines="50" w:beforeAutospacing="0" w:after="158" w:afterLines="50" w:afterAutospacing="0"/>
        <w:ind w:firstLine="420"/>
        <w:jc w:val="left"/>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(四)将政府采购合同转包;</w:t>
      </w:r>
    </w:p>
    <w:p w14:paraId="09440395">
      <w:pPr>
        <w:pStyle w:val="18"/>
        <w:widowControl/>
        <w:shd w:val="clear" w:color="auto" w:fill="FFFFFF"/>
        <w:spacing w:before="158" w:beforeLines="50" w:beforeAutospacing="0" w:after="158" w:afterLines="50" w:afterAutospacing="0"/>
        <w:ind w:firstLine="420"/>
        <w:jc w:val="left"/>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(五)提供假冒伪劣产品;</w:t>
      </w:r>
    </w:p>
    <w:p w14:paraId="7C1B607A">
      <w:pPr>
        <w:pStyle w:val="18"/>
        <w:widowControl/>
        <w:shd w:val="clear" w:color="auto" w:fill="FFFFFF"/>
        <w:spacing w:before="158" w:beforeLines="50" w:beforeAutospacing="0" w:after="158" w:afterLines="50" w:afterAutospacing="0"/>
        <w:ind w:firstLine="420"/>
        <w:jc w:val="left"/>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(六)擅自变更、中止或者终止政府采购合同。</w:t>
      </w:r>
    </w:p>
    <w:p w14:paraId="006F3D83">
      <w:pPr>
        <w:pStyle w:val="18"/>
        <w:widowControl/>
        <w:shd w:val="clear" w:color="auto" w:fill="FFFFFF"/>
        <w:spacing w:before="158" w:beforeLines="50" w:beforeAutospacing="0" w:after="158" w:afterLines="50" w:afterAutospacing="0"/>
        <w:ind w:firstLine="420"/>
        <w:jc w:val="left"/>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供应商有前款第一项规定情形的，中标、成交无效。评审阶段资格发生变化，供应商未依照本条例第二十一条的规定通知采购人和采购代理机构的，处以采购金额5‰的罚款，列入不良行为记录名单，中标、成交无效。</w:t>
      </w:r>
    </w:p>
    <w:p w14:paraId="0021C603">
      <w:pPr>
        <w:pStyle w:val="18"/>
        <w:widowControl/>
        <w:shd w:val="clear" w:color="auto" w:fill="FFFFFF"/>
        <w:spacing w:before="158" w:beforeLines="50" w:beforeAutospacing="0" w:after="158" w:afterLines="50" w:afterAutospacing="0"/>
        <w:ind w:firstLine="420"/>
        <w:jc w:val="left"/>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第七十三条　供应商捏造事实、提供虚假材料或者以非法手段取得证明材料进行投诉的，由财政部门列入不良行为记录名单，禁止其1至3年内参加政府采购活动。</w:t>
      </w:r>
    </w:p>
    <w:p w14:paraId="0D2D2B68">
      <w:pPr>
        <w:pStyle w:val="18"/>
        <w:widowControl/>
        <w:shd w:val="clear" w:color="auto" w:fill="FFFFFF"/>
        <w:spacing w:before="158" w:beforeLines="50" w:beforeAutospacing="0" w:after="158" w:afterLines="50" w:afterAutospacing="0"/>
        <w:ind w:firstLine="420"/>
        <w:jc w:val="left"/>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第七十四条　有下列情形之一的，属于恶意串通，对供应商依照政府采购法第七十七条第一款的规定追究法律责任，对采购人、采购代理机构及其工作人员依照政府采购法第七十二条的规定追究法律责任：</w:t>
      </w:r>
    </w:p>
    <w:p w14:paraId="025BB10F">
      <w:pPr>
        <w:pStyle w:val="18"/>
        <w:widowControl/>
        <w:shd w:val="clear" w:color="auto" w:fill="FFFFFF"/>
        <w:spacing w:before="158" w:beforeLines="50" w:beforeAutospacing="0" w:after="158" w:afterLines="50" w:afterAutospacing="0"/>
        <w:ind w:firstLine="420"/>
        <w:jc w:val="left"/>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(一)供应商直接或者间接从采购人或者采购代理机构处获得其他供应商的相关情况并修改其投标文件或者投标文件;</w:t>
      </w:r>
    </w:p>
    <w:p w14:paraId="49A523F3">
      <w:pPr>
        <w:pStyle w:val="18"/>
        <w:widowControl/>
        <w:shd w:val="clear" w:color="auto" w:fill="FFFFFF"/>
        <w:spacing w:before="158" w:beforeLines="50" w:beforeAutospacing="0" w:after="158" w:afterLines="50" w:afterAutospacing="0"/>
        <w:ind w:firstLine="420"/>
        <w:jc w:val="left"/>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(二)供应商按照采购人或者采购代理机构的授意撤换、修改投标文件或者投标文件;</w:t>
      </w:r>
    </w:p>
    <w:p w14:paraId="13E77C1F">
      <w:pPr>
        <w:pStyle w:val="18"/>
        <w:widowControl/>
        <w:shd w:val="clear" w:color="auto" w:fill="FFFFFF"/>
        <w:spacing w:before="158" w:beforeLines="50" w:beforeAutospacing="0" w:after="158" w:afterLines="50" w:afterAutospacing="0"/>
        <w:ind w:firstLine="420"/>
        <w:jc w:val="left"/>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(三)供应商之间协商报价、技术方案等投标文件或者投标文件的实质性内容;</w:t>
      </w:r>
    </w:p>
    <w:p w14:paraId="18181EAD">
      <w:pPr>
        <w:pStyle w:val="18"/>
        <w:widowControl/>
        <w:shd w:val="clear" w:color="auto" w:fill="FFFFFF"/>
        <w:spacing w:before="158" w:beforeLines="50" w:beforeAutospacing="0" w:after="158" w:afterLines="50" w:afterAutospacing="0"/>
        <w:ind w:firstLine="420"/>
        <w:jc w:val="left"/>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(四)属于同一集团、协会、商会等组织成员的供应商按照该组织要求协同参加政府采购活动;</w:t>
      </w:r>
    </w:p>
    <w:p w14:paraId="2975D57C">
      <w:pPr>
        <w:pStyle w:val="18"/>
        <w:widowControl/>
        <w:shd w:val="clear" w:color="auto" w:fill="FFFFFF"/>
        <w:spacing w:before="158" w:beforeLines="50" w:beforeAutospacing="0" w:after="158" w:afterLines="50" w:afterAutospacing="0"/>
        <w:ind w:firstLine="420"/>
        <w:jc w:val="left"/>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(五)供应商之间事先约定由某一特定供应商中标、成交;</w:t>
      </w:r>
    </w:p>
    <w:p w14:paraId="31E185F1">
      <w:pPr>
        <w:pStyle w:val="18"/>
        <w:widowControl/>
        <w:shd w:val="clear" w:color="auto" w:fill="FFFFFF"/>
        <w:spacing w:before="158" w:beforeLines="50" w:beforeAutospacing="0" w:after="158" w:afterLines="50" w:afterAutospacing="0"/>
        <w:ind w:firstLine="420"/>
        <w:jc w:val="left"/>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(六)供应商之间商定部分供应商放弃参加政府采购活动或者放弃中标、成交;</w:t>
      </w:r>
    </w:p>
    <w:p w14:paraId="06D57F49">
      <w:pPr>
        <w:pStyle w:val="18"/>
        <w:widowControl/>
        <w:shd w:val="clear" w:color="auto" w:fill="FFFFFF"/>
        <w:spacing w:before="158" w:beforeLines="50" w:beforeAutospacing="0" w:after="158" w:afterLines="50" w:afterAutospacing="0"/>
        <w:ind w:firstLine="420"/>
        <w:jc w:val="left"/>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(七)供应商与采购人或者采购代理机构之间、供应商相互之间，为谋求特定供应商中标、成交或者排斥其他供应商的其他串通行为。</w:t>
      </w:r>
    </w:p>
    <w:p w14:paraId="0AB14C95">
      <w:pPr>
        <w:spacing w:before="158" w:beforeLines="50" w:after="158" w:afterLines="50" w:line="360" w:lineRule="auto"/>
        <w:rPr>
          <w:rFonts w:asciiTheme="majorEastAsia" w:hAnsiTheme="majorEastAsia" w:eastAsiaTheme="majorEastAsia" w:cstheme="majorEastAsia"/>
          <w:bCs/>
          <w:color w:val="auto"/>
          <w:sz w:val="24"/>
          <w:highlight w:val="none"/>
        </w:rPr>
      </w:pPr>
    </w:p>
    <w:p w14:paraId="4E7121B9">
      <w:pPr>
        <w:spacing w:before="158" w:beforeLines="50" w:after="158" w:afterLines="50" w:line="360" w:lineRule="auto"/>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三、财政部87号令第三十七条 有下列情形之一的，视为供应商串通投标，其投标无效：</w:t>
      </w:r>
    </w:p>
    <w:p w14:paraId="402D5331">
      <w:pPr>
        <w:spacing w:before="158" w:beforeLines="50" w:after="158" w:afterLines="50" w:line="360" w:lineRule="auto"/>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（一）不同供应商的投标文件由同一单位或者个人编制；</w:t>
      </w:r>
    </w:p>
    <w:p w14:paraId="36BF898D">
      <w:pPr>
        <w:spacing w:before="158" w:beforeLines="50" w:after="158" w:afterLines="50" w:line="360" w:lineRule="auto"/>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（二）不同供应商委托同一单位或者个人办理投标事宜；</w:t>
      </w:r>
    </w:p>
    <w:p w14:paraId="5ACA881F">
      <w:pPr>
        <w:spacing w:before="158" w:beforeLines="50" w:after="158" w:afterLines="50" w:line="360" w:lineRule="auto"/>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（三）不同供应商的投标文件载明的项目管理成员或者联系人员为同一人；</w:t>
      </w:r>
    </w:p>
    <w:p w14:paraId="2F31EE70">
      <w:pPr>
        <w:spacing w:before="158" w:beforeLines="50" w:after="158" w:afterLines="50" w:line="360" w:lineRule="auto"/>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（四）不同供应商的投标文件异常一致或者投标报价呈规律性差异；</w:t>
      </w:r>
    </w:p>
    <w:p w14:paraId="6A5219CB">
      <w:pPr>
        <w:spacing w:before="158" w:beforeLines="50" w:after="158" w:afterLines="50" w:line="360" w:lineRule="auto"/>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（五）不同供应商的投标文件相互混装；</w:t>
      </w:r>
    </w:p>
    <w:p w14:paraId="56613760">
      <w:pPr>
        <w:spacing w:before="158" w:beforeLines="50" w:after="158" w:afterLines="50" w:line="360" w:lineRule="auto"/>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（六）不同供应商的投标保证金从同一单位或者个人的账户转出。</w:t>
      </w:r>
    </w:p>
    <w:p w14:paraId="07EA0B3E">
      <w:pPr>
        <w:spacing w:before="158" w:beforeLines="50" w:after="158" w:afterLines="50" w:line="360" w:lineRule="auto"/>
        <w:ind w:firstLine="238" w:firstLineChars="98"/>
        <w:rPr>
          <w:rFonts w:asciiTheme="majorEastAsia" w:hAnsiTheme="majorEastAsia" w:eastAsiaTheme="majorEastAsia" w:cstheme="majorEastAsia"/>
          <w:color w:val="auto"/>
          <w:sz w:val="24"/>
          <w:highlight w:val="none"/>
        </w:rPr>
      </w:pPr>
    </w:p>
    <w:p w14:paraId="6C7A7A1E">
      <w:pPr>
        <w:spacing w:before="158" w:beforeLines="50" w:after="158" w:afterLines="50" w:line="360" w:lineRule="auto"/>
        <w:rPr>
          <w:rFonts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color w:val="auto"/>
          <w:sz w:val="24"/>
          <w:highlight w:val="none"/>
        </w:rPr>
        <w:t>四、政府采购针对供应商投标行为的其他规定</w:t>
      </w:r>
    </w:p>
    <w:p w14:paraId="4D6EFDAC">
      <w:pPr>
        <w:spacing w:before="158" w:beforeLines="50" w:after="158" w:afterLines="50" w:line="360" w:lineRule="auto"/>
        <w:rPr>
          <w:rFonts w:asciiTheme="majorEastAsia" w:hAnsiTheme="majorEastAsia" w:eastAsiaTheme="majorEastAsia" w:cstheme="majorEastAsia"/>
          <w:b/>
          <w:color w:val="auto"/>
          <w:sz w:val="24"/>
          <w:highlight w:val="none"/>
        </w:rPr>
      </w:pPr>
    </w:p>
    <w:p w14:paraId="14CF35B8">
      <w:pPr>
        <w:spacing w:before="158" w:beforeLines="50" w:after="158" w:afterLines="50" w:line="360" w:lineRule="auto"/>
        <w:ind w:firstLine="477" w:firstLineChars="196"/>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b/>
          <w:color w:val="auto"/>
          <w:sz w:val="24"/>
          <w:highlight w:val="none"/>
        </w:rPr>
        <w:t>我公司声明承诺本项目的政府采购投标活动，严格遵守以上政府采购相关法律法规对供应商投标行为的规定，如声明承诺不实，将承担由此发生的全部法律责任。</w:t>
      </w:r>
    </w:p>
    <w:p w14:paraId="754D3992">
      <w:pPr>
        <w:spacing w:before="158" w:beforeLines="50" w:after="158" w:afterLines="50" w:line="360" w:lineRule="auto"/>
        <w:rPr>
          <w:rFonts w:asciiTheme="majorEastAsia" w:hAnsiTheme="majorEastAsia" w:eastAsiaTheme="majorEastAsia" w:cstheme="majorEastAsia"/>
          <w:b/>
          <w:color w:val="auto"/>
          <w:sz w:val="24"/>
          <w:highlight w:val="none"/>
        </w:rPr>
      </w:pPr>
    </w:p>
    <w:p w14:paraId="2CD31C3B">
      <w:pPr>
        <w:spacing w:before="158" w:beforeLines="50" w:after="158" w:afterLines="50" w:line="360" w:lineRule="auto"/>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投标供应商：（盖章）</w:t>
      </w:r>
    </w:p>
    <w:p w14:paraId="6E030D19">
      <w:pPr>
        <w:spacing w:before="158" w:beforeLines="50" w:after="158" w:afterLines="50" w:line="360" w:lineRule="auto"/>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xml:space="preserve">                                             日期：年   月   日</w:t>
      </w:r>
    </w:p>
    <w:p w14:paraId="27EFDC0D">
      <w:pPr>
        <w:pStyle w:val="2"/>
        <w:spacing w:line="360" w:lineRule="auto"/>
        <w:ind w:firstLine="571"/>
        <w:rPr>
          <w:rFonts w:asciiTheme="majorEastAsia" w:hAnsiTheme="majorEastAsia" w:eastAsiaTheme="majorEastAsia" w:cstheme="majorEastAsia"/>
          <w:color w:val="auto"/>
          <w:highlight w:val="none"/>
        </w:rPr>
      </w:pPr>
    </w:p>
    <w:p w14:paraId="2C4E622B">
      <w:pPr>
        <w:pStyle w:val="2"/>
        <w:spacing w:line="360" w:lineRule="auto"/>
        <w:ind w:firstLine="571"/>
        <w:rPr>
          <w:rFonts w:asciiTheme="majorEastAsia" w:hAnsiTheme="majorEastAsia" w:eastAsiaTheme="majorEastAsia" w:cstheme="majorEastAsia"/>
          <w:color w:val="auto"/>
          <w:highlight w:val="none"/>
        </w:rPr>
      </w:pPr>
    </w:p>
    <w:p w14:paraId="1273DDB9">
      <w:pPr>
        <w:pStyle w:val="2"/>
        <w:spacing w:line="360" w:lineRule="auto"/>
        <w:ind w:firstLine="571"/>
        <w:rPr>
          <w:rFonts w:asciiTheme="majorEastAsia" w:hAnsiTheme="majorEastAsia" w:eastAsiaTheme="majorEastAsia" w:cstheme="majorEastAsia"/>
          <w:color w:val="auto"/>
          <w:highlight w:val="none"/>
        </w:rPr>
      </w:pPr>
    </w:p>
    <w:p w14:paraId="735C3ECE">
      <w:pPr>
        <w:pStyle w:val="2"/>
        <w:spacing w:line="360" w:lineRule="auto"/>
        <w:ind w:firstLine="0" w:firstLineChars="0"/>
        <w:rPr>
          <w:rFonts w:asciiTheme="majorEastAsia" w:hAnsiTheme="majorEastAsia" w:eastAsiaTheme="majorEastAsia" w:cstheme="majorEastAsia"/>
          <w:color w:val="auto"/>
          <w:highlight w:val="none"/>
        </w:rPr>
      </w:pPr>
    </w:p>
    <w:p w14:paraId="50AB9B35">
      <w:pPr>
        <w:pStyle w:val="8"/>
        <w:spacing w:line="360" w:lineRule="auto"/>
        <w:ind w:firstLine="488" w:firstLineChars="200"/>
        <w:jc w:val="center"/>
        <w:rPr>
          <w:rFonts w:asciiTheme="majorEastAsia" w:hAnsiTheme="majorEastAsia" w:eastAsiaTheme="majorEastAsia" w:cstheme="majorEastAsia"/>
          <w:color w:val="auto"/>
          <w:sz w:val="24"/>
          <w:highlight w:val="none"/>
        </w:rPr>
      </w:pPr>
    </w:p>
    <w:p w14:paraId="0F2D9A40">
      <w:pPr>
        <w:pStyle w:val="8"/>
        <w:spacing w:line="360" w:lineRule="auto"/>
        <w:ind w:firstLine="488" w:firstLineChars="200"/>
        <w:jc w:val="center"/>
        <w:rPr>
          <w:rFonts w:asciiTheme="majorEastAsia" w:hAnsiTheme="majorEastAsia" w:eastAsiaTheme="majorEastAsia" w:cstheme="majorEastAsia"/>
          <w:color w:val="auto"/>
          <w:sz w:val="24"/>
          <w:highlight w:val="none"/>
        </w:rPr>
      </w:pPr>
    </w:p>
    <w:p w14:paraId="3F2765DE">
      <w:pPr>
        <w:pStyle w:val="8"/>
        <w:spacing w:line="360" w:lineRule="auto"/>
        <w:ind w:firstLine="488" w:firstLineChars="200"/>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十一、项目实施方案</w:t>
      </w:r>
    </w:p>
    <w:p w14:paraId="657D4931">
      <w:pPr>
        <w:pStyle w:val="8"/>
        <w:spacing w:line="360" w:lineRule="auto"/>
        <w:ind w:firstLine="488" w:firstLineChars="200"/>
        <w:jc w:val="left"/>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格式自拟</w:t>
      </w:r>
    </w:p>
    <w:p w14:paraId="0002747C">
      <w:pPr>
        <w:pStyle w:val="8"/>
        <w:spacing w:line="360" w:lineRule="auto"/>
        <w:ind w:firstLine="488" w:firstLineChars="200"/>
        <w:jc w:val="left"/>
        <w:rPr>
          <w:rFonts w:asciiTheme="majorEastAsia" w:hAnsiTheme="majorEastAsia" w:eastAsiaTheme="majorEastAsia" w:cstheme="majorEastAsia"/>
          <w:color w:val="auto"/>
          <w:sz w:val="24"/>
          <w:highlight w:val="none"/>
        </w:rPr>
      </w:pPr>
    </w:p>
    <w:p w14:paraId="7EC236E4">
      <w:pPr>
        <w:pStyle w:val="8"/>
        <w:spacing w:line="360" w:lineRule="auto"/>
        <w:ind w:firstLine="488" w:firstLineChars="200"/>
        <w:jc w:val="left"/>
        <w:rPr>
          <w:rFonts w:asciiTheme="majorEastAsia" w:hAnsiTheme="majorEastAsia" w:eastAsiaTheme="majorEastAsia" w:cstheme="majorEastAsia"/>
          <w:color w:val="auto"/>
          <w:sz w:val="24"/>
          <w:highlight w:val="none"/>
        </w:rPr>
      </w:pPr>
    </w:p>
    <w:p w14:paraId="20CFF5F6">
      <w:pPr>
        <w:pStyle w:val="8"/>
        <w:spacing w:line="360" w:lineRule="auto"/>
        <w:ind w:firstLine="488" w:firstLineChars="200"/>
        <w:jc w:val="left"/>
        <w:rPr>
          <w:rFonts w:asciiTheme="majorEastAsia" w:hAnsiTheme="majorEastAsia" w:eastAsiaTheme="majorEastAsia" w:cstheme="majorEastAsia"/>
          <w:color w:val="auto"/>
          <w:sz w:val="24"/>
          <w:highlight w:val="none"/>
        </w:rPr>
      </w:pPr>
    </w:p>
    <w:p w14:paraId="1250799E">
      <w:pPr>
        <w:pStyle w:val="8"/>
        <w:spacing w:line="360" w:lineRule="auto"/>
        <w:ind w:firstLine="488" w:firstLineChars="200"/>
        <w:jc w:val="left"/>
        <w:rPr>
          <w:rFonts w:asciiTheme="majorEastAsia" w:hAnsiTheme="majorEastAsia" w:eastAsiaTheme="majorEastAsia" w:cstheme="majorEastAsia"/>
          <w:color w:val="auto"/>
          <w:sz w:val="24"/>
          <w:highlight w:val="none"/>
        </w:rPr>
      </w:pPr>
    </w:p>
    <w:p w14:paraId="62B4588B">
      <w:pPr>
        <w:pStyle w:val="8"/>
        <w:spacing w:line="360" w:lineRule="auto"/>
        <w:ind w:firstLine="488" w:firstLineChars="200"/>
        <w:jc w:val="left"/>
        <w:rPr>
          <w:rFonts w:asciiTheme="majorEastAsia" w:hAnsiTheme="majorEastAsia" w:eastAsiaTheme="majorEastAsia" w:cstheme="majorEastAsia"/>
          <w:color w:val="auto"/>
          <w:sz w:val="24"/>
          <w:highlight w:val="none"/>
        </w:rPr>
      </w:pPr>
    </w:p>
    <w:p w14:paraId="4D6780D6">
      <w:pPr>
        <w:pStyle w:val="8"/>
        <w:spacing w:line="360" w:lineRule="auto"/>
        <w:ind w:firstLine="488" w:firstLineChars="200"/>
        <w:jc w:val="left"/>
        <w:rPr>
          <w:rFonts w:asciiTheme="majorEastAsia" w:hAnsiTheme="majorEastAsia" w:eastAsiaTheme="majorEastAsia" w:cstheme="majorEastAsia"/>
          <w:color w:val="auto"/>
          <w:sz w:val="24"/>
          <w:highlight w:val="none"/>
        </w:rPr>
      </w:pPr>
    </w:p>
    <w:p w14:paraId="01A72482">
      <w:pPr>
        <w:pStyle w:val="8"/>
        <w:spacing w:line="360" w:lineRule="auto"/>
        <w:ind w:firstLine="488" w:firstLineChars="200"/>
        <w:jc w:val="left"/>
        <w:rPr>
          <w:rFonts w:asciiTheme="majorEastAsia" w:hAnsiTheme="majorEastAsia" w:eastAsiaTheme="majorEastAsia" w:cstheme="majorEastAsia"/>
          <w:color w:val="auto"/>
          <w:sz w:val="24"/>
          <w:highlight w:val="none"/>
        </w:rPr>
      </w:pPr>
    </w:p>
    <w:p w14:paraId="599AE3B6">
      <w:pPr>
        <w:pStyle w:val="8"/>
        <w:spacing w:line="360" w:lineRule="auto"/>
        <w:ind w:firstLine="488" w:firstLineChars="200"/>
        <w:jc w:val="left"/>
        <w:rPr>
          <w:rFonts w:asciiTheme="majorEastAsia" w:hAnsiTheme="majorEastAsia" w:eastAsiaTheme="majorEastAsia" w:cstheme="majorEastAsia"/>
          <w:color w:val="auto"/>
          <w:sz w:val="24"/>
          <w:highlight w:val="none"/>
        </w:rPr>
      </w:pPr>
    </w:p>
    <w:p w14:paraId="5DF70D70">
      <w:pPr>
        <w:pStyle w:val="8"/>
        <w:spacing w:line="360" w:lineRule="auto"/>
        <w:ind w:firstLine="488" w:firstLineChars="200"/>
        <w:jc w:val="left"/>
        <w:rPr>
          <w:rFonts w:asciiTheme="majorEastAsia" w:hAnsiTheme="majorEastAsia" w:eastAsiaTheme="majorEastAsia" w:cstheme="majorEastAsia"/>
          <w:color w:val="auto"/>
          <w:sz w:val="24"/>
          <w:highlight w:val="none"/>
        </w:rPr>
      </w:pPr>
    </w:p>
    <w:p w14:paraId="43794701">
      <w:pPr>
        <w:pStyle w:val="8"/>
        <w:spacing w:line="360" w:lineRule="auto"/>
        <w:ind w:firstLine="488" w:firstLineChars="200"/>
        <w:jc w:val="left"/>
        <w:rPr>
          <w:rFonts w:asciiTheme="majorEastAsia" w:hAnsiTheme="majorEastAsia" w:eastAsiaTheme="majorEastAsia" w:cstheme="majorEastAsia"/>
          <w:color w:val="auto"/>
          <w:sz w:val="24"/>
          <w:highlight w:val="none"/>
        </w:rPr>
      </w:pPr>
    </w:p>
    <w:p w14:paraId="720C25F7">
      <w:pPr>
        <w:pStyle w:val="8"/>
        <w:spacing w:line="360" w:lineRule="auto"/>
        <w:ind w:firstLine="488" w:firstLineChars="200"/>
        <w:jc w:val="left"/>
        <w:rPr>
          <w:rFonts w:asciiTheme="majorEastAsia" w:hAnsiTheme="majorEastAsia" w:eastAsiaTheme="majorEastAsia" w:cstheme="majorEastAsia"/>
          <w:color w:val="auto"/>
          <w:sz w:val="24"/>
          <w:highlight w:val="none"/>
        </w:rPr>
      </w:pPr>
    </w:p>
    <w:p w14:paraId="60FFFC01">
      <w:pPr>
        <w:pStyle w:val="8"/>
        <w:spacing w:line="360" w:lineRule="auto"/>
        <w:ind w:firstLine="488" w:firstLineChars="200"/>
        <w:jc w:val="left"/>
        <w:rPr>
          <w:rFonts w:asciiTheme="majorEastAsia" w:hAnsiTheme="majorEastAsia" w:eastAsiaTheme="majorEastAsia" w:cstheme="majorEastAsia"/>
          <w:color w:val="auto"/>
          <w:sz w:val="24"/>
          <w:highlight w:val="none"/>
        </w:rPr>
      </w:pPr>
    </w:p>
    <w:p w14:paraId="14F37B42">
      <w:pPr>
        <w:pStyle w:val="8"/>
        <w:spacing w:line="360" w:lineRule="auto"/>
        <w:ind w:firstLine="488" w:firstLineChars="200"/>
        <w:jc w:val="left"/>
        <w:rPr>
          <w:rFonts w:asciiTheme="majorEastAsia" w:hAnsiTheme="majorEastAsia" w:eastAsiaTheme="majorEastAsia" w:cstheme="majorEastAsia"/>
          <w:color w:val="auto"/>
          <w:sz w:val="24"/>
          <w:highlight w:val="none"/>
        </w:rPr>
      </w:pPr>
    </w:p>
    <w:p w14:paraId="690A9CFC">
      <w:pPr>
        <w:pStyle w:val="8"/>
        <w:spacing w:line="360" w:lineRule="auto"/>
        <w:ind w:firstLine="488" w:firstLineChars="200"/>
        <w:jc w:val="left"/>
        <w:rPr>
          <w:rFonts w:asciiTheme="majorEastAsia" w:hAnsiTheme="majorEastAsia" w:eastAsiaTheme="majorEastAsia" w:cstheme="majorEastAsia"/>
          <w:color w:val="auto"/>
          <w:sz w:val="24"/>
          <w:highlight w:val="none"/>
        </w:rPr>
      </w:pPr>
    </w:p>
    <w:p w14:paraId="3632B091">
      <w:pPr>
        <w:pStyle w:val="8"/>
        <w:spacing w:line="360" w:lineRule="auto"/>
        <w:ind w:firstLine="488" w:firstLineChars="200"/>
        <w:jc w:val="left"/>
        <w:rPr>
          <w:rFonts w:asciiTheme="majorEastAsia" w:hAnsiTheme="majorEastAsia" w:eastAsiaTheme="majorEastAsia" w:cstheme="majorEastAsia"/>
          <w:color w:val="auto"/>
          <w:sz w:val="24"/>
          <w:highlight w:val="none"/>
        </w:rPr>
      </w:pPr>
    </w:p>
    <w:p w14:paraId="49DB9EC9">
      <w:pPr>
        <w:pStyle w:val="8"/>
        <w:spacing w:line="360" w:lineRule="auto"/>
        <w:ind w:firstLine="488" w:firstLineChars="200"/>
        <w:jc w:val="left"/>
        <w:rPr>
          <w:rFonts w:asciiTheme="majorEastAsia" w:hAnsiTheme="majorEastAsia" w:eastAsiaTheme="majorEastAsia" w:cstheme="majorEastAsia"/>
          <w:color w:val="auto"/>
          <w:sz w:val="24"/>
          <w:highlight w:val="none"/>
        </w:rPr>
      </w:pPr>
    </w:p>
    <w:p w14:paraId="771231CF">
      <w:pPr>
        <w:pStyle w:val="8"/>
        <w:spacing w:line="360" w:lineRule="auto"/>
        <w:ind w:firstLine="488" w:firstLineChars="200"/>
        <w:jc w:val="left"/>
        <w:rPr>
          <w:rFonts w:asciiTheme="majorEastAsia" w:hAnsiTheme="majorEastAsia" w:eastAsiaTheme="majorEastAsia" w:cstheme="majorEastAsia"/>
          <w:color w:val="auto"/>
          <w:sz w:val="24"/>
          <w:highlight w:val="none"/>
        </w:rPr>
      </w:pPr>
    </w:p>
    <w:p w14:paraId="41E526D5">
      <w:pPr>
        <w:pStyle w:val="8"/>
        <w:spacing w:line="360" w:lineRule="auto"/>
        <w:ind w:firstLine="488" w:firstLineChars="200"/>
        <w:jc w:val="left"/>
        <w:rPr>
          <w:rFonts w:asciiTheme="majorEastAsia" w:hAnsiTheme="majorEastAsia" w:eastAsiaTheme="majorEastAsia" w:cstheme="majorEastAsia"/>
          <w:color w:val="auto"/>
          <w:sz w:val="24"/>
          <w:highlight w:val="none"/>
        </w:rPr>
      </w:pPr>
    </w:p>
    <w:p w14:paraId="1EB44020">
      <w:pPr>
        <w:pStyle w:val="8"/>
        <w:spacing w:line="360" w:lineRule="auto"/>
        <w:ind w:firstLine="488" w:firstLineChars="200"/>
        <w:jc w:val="left"/>
        <w:rPr>
          <w:rFonts w:asciiTheme="majorEastAsia" w:hAnsiTheme="majorEastAsia" w:eastAsiaTheme="majorEastAsia" w:cstheme="majorEastAsia"/>
          <w:color w:val="auto"/>
          <w:sz w:val="24"/>
          <w:highlight w:val="none"/>
        </w:rPr>
      </w:pPr>
    </w:p>
    <w:p w14:paraId="202ECCDB">
      <w:pPr>
        <w:pStyle w:val="8"/>
        <w:spacing w:line="360" w:lineRule="auto"/>
        <w:ind w:firstLine="488" w:firstLineChars="200"/>
        <w:jc w:val="left"/>
        <w:rPr>
          <w:rFonts w:asciiTheme="majorEastAsia" w:hAnsiTheme="majorEastAsia" w:eastAsiaTheme="majorEastAsia" w:cstheme="majorEastAsia"/>
          <w:color w:val="auto"/>
          <w:sz w:val="24"/>
          <w:highlight w:val="none"/>
        </w:rPr>
      </w:pPr>
    </w:p>
    <w:p w14:paraId="1B66B7BA">
      <w:pPr>
        <w:pStyle w:val="8"/>
        <w:spacing w:line="360" w:lineRule="auto"/>
        <w:jc w:val="left"/>
        <w:rPr>
          <w:rFonts w:asciiTheme="majorEastAsia" w:hAnsiTheme="majorEastAsia" w:eastAsiaTheme="majorEastAsia" w:cstheme="majorEastAsia"/>
          <w:color w:val="auto"/>
          <w:sz w:val="24"/>
          <w:highlight w:val="none"/>
        </w:rPr>
      </w:pPr>
    </w:p>
    <w:p w14:paraId="23B11CC5">
      <w:pPr>
        <w:spacing w:before="158" w:beforeLines="50" w:after="158" w:afterLines="50" w:line="360" w:lineRule="auto"/>
        <w:jc w:val="center"/>
        <w:rPr>
          <w:rFonts w:asciiTheme="majorEastAsia" w:hAnsiTheme="majorEastAsia" w:eastAsiaTheme="majorEastAsia" w:cstheme="majorEastAsia"/>
          <w:b/>
          <w:color w:val="auto"/>
          <w:sz w:val="30"/>
          <w:szCs w:val="30"/>
          <w:highlight w:val="none"/>
        </w:rPr>
      </w:pPr>
      <w:r>
        <w:rPr>
          <w:rFonts w:hint="eastAsia" w:asciiTheme="majorEastAsia" w:hAnsiTheme="majorEastAsia" w:eastAsiaTheme="majorEastAsia" w:cstheme="majorEastAsia"/>
          <w:b/>
          <w:color w:val="auto"/>
          <w:sz w:val="30"/>
          <w:szCs w:val="30"/>
          <w:highlight w:val="none"/>
        </w:rPr>
        <w:t>十二、优惠性政策情况</w:t>
      </w:r>
    </w:p>
    <w:p w14:paraId="6674BD50">
      <w:pPr>
        <w:spacing w:before="158" w:beforeLines="50" w:after="158" w:afterLines="50" w:line="360" w:lineRule="auto"/>
        <w:jc w:val="center"/>
        <w:rPr>
          <w:rFonts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36"/>
          <w:szCs w:val="36"/>
          <w:highlight w:val="none"/>
        </w:rPr>
        <w:t>投标报价符合优惠性政策情况表</w:t>
      </w:r>
    </w:p>
    <w:p w14:paraId="74E2E313">
      <w:pPr>
        <w:pStyle w:val="11"/>
        <w:spacing w:before="317" w:beforeLines="100" w:after="158" w:afterLines="50" w:line="360" w:lineRule="auto"/>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项目编号：                       项目名称：                     品目号：</w:t>
      </w:r>
    </w:p>
    <w:tbl>
      <w:tblPr>
        <w:tblStyle w:val="20"/>
        <w:tblpPr w:leftFromText="181" w:rightFromText="181" w:vertAnchor="text" w:horzAnchor="page" w:tblpX="1390" w:tblpY="433"/>
        <w:tblW w:w="951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75"/>
        <w:gridCol w:w="3511"/>
        <w:gridCol w:w="3132"/>
        <w:gridCol w:w="2294"/>
      </w:tblGrid>
      <w:tr w14:paraId="1AA269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575" w:type="dxa"/>
            <w:tcBorders>
              <w:top w:val="single" w:color="auto" w:sz="4" w:space="0"/>
              <w:left w:val="single" w:color="auto" w:sz="4" w:space="0"/>
              <w:bottom w:val="single" w:color="auto" w:sz="4" w:space="0"/>
              <w:right w:val="single" w:color="auto" w:sz="4" w:space="0"/>
            </w:tcBorders>
            <w:vAlign w:val="center"/>
          </w:tcPr>
          <w:p w14:paraId="24294FE9">
            <w:pPr>
              <w:pStyle w:val="11"/>
              <w:spacing w:line="360" w:lineRule="auto"/>
              <w:jc w:val="center"/>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序号</w:t>
            </w:r>
          </w:p>
        </w:tc>
        <w:tc>
          <w:tcPr>
            <w:tcW w:w="3511" w:type="dxa"/>
            <w:tcBorders>
              <w:top w:val="single" w:color="auto" w:sz="4" w:space="0"/>
              <w:left w:val="single" w:color="auto" w:sz="4" w:space="0"/>
              <w:bottom w:val="single" w:color="auto" w:sz="4" w:space="0"/>
              <w:right w:val="single" w:color="auto" w:sz="4" w:space="0"/>
            </w:tcBorders>
            <w:vAlign w:val="center"/>
          </w:tcPr>
          <w:p w14:paraId="27B258CC">
            <w:pPr>
              <w:pStyle w:val="11"/>
              <w:spacing w:line="360" w:lineRule="auto"/>
              <w:jc w:val="center"/>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优惠性政府名称</w:t>
            </w:r>
          </w:p>
        </w:tc>
        <w:tc>
          <w:tcPr>
            <w:tcW w:w="3132" w:type="dxa"/>
            <w:tcBorders>
              <w:top w:val="single" w:color="auto" w:sz="4" w:space="0"/>
              <w:left w:val="single" w:color="auto" w:sz="4" w:space="0"/>
              <w:bottom w:val="single" w:color="auto" w:sz="4" w:space="0"/>
              <w:right w:val="single" w:color="auto" w:sz="4" w:space="0"/>
            </w:tcBorders>
            <w:vAlign w:val="center"/>
          </w:tcPr>
          <w:p w14:paraId="2A6FA15E">
            <w:pPr>
              <w:pStyle w:val="11"/>
              <w:spacing w:line="360" w:lineRule="auto"/>
              <w:jc w:val="center"/>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投标供应商享受优惠政策的情况说明</w:t>
            </w:r>
          </w:p>
        </w:tc>
        <w:tc>
          <w:tcPr>
            <w:tcW w:w="2294" w:type="dxa"/>
            <w:tcBorders>
              <w:top w:val="single" w:color="auto" w:sz="4" w:space="0"/>
              <w:left w:val="single" w:color="auto" w:sz="4" w:space="0"/>
              <w:bottom w:val="single" w:color="auto" w:sz="4" w:space="0"/>
              <w:right w:val="single" w:color="auto" w:sz="4" w:space="0"/>
            </w:tcBorders>
            <w:vAlign w:val="center"/>
          </w:tcPr>
          <w:p w14:paraId="4B871A3A">
            <w:pPr>
              <w:pStyle w:val="11"/>
              <w:spacing w:line="360" w:lineRule="auto"/>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信息数据来源</w:t>
            </w:r>
          </w:p>
        </w:tc>
      </w:tr>
      <w:tr w14:paraId="04C53B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45" w:hRule="atLeast"/>
        </w:trPr>
        <w:tc>
          <w:tcPr>
            <w:tcW w:w="575" w:type="dxa"/>
            <w:tcBorders>
              <w:top w:val="single" w:color="auto" w:sz="4" w:space="0"/>
              <w:left w:val="single" w:color="auto" w:sz="4" w:space="0"/>
              <w:right w:val="single" w:color="auto" w:sz="4" w:space="0"/>
            </w:tcBorders>
            <w:vAlign w:val="center"/>
          </w:tcPr>
          <w:p w14:paraId="3651671D">
            <w:pPr>
              <w:pStyle w:val="11"/>
              <w:spacing w:line="360" w:lineRule="auto"/>
              <w:ind w:firstLine="244" w:firstLineChars="100"/>
              <w:jc w:val="center"/>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w:t>
            </w:r>
          </w:p>
        </w:tc>
        <w:tc>
          <w:tcPr>
            <w:tcW w:w="3511" w:type="dxa"/>
            <w:tcBorders>
              <w:top w:val="single" w:color="auto" w:sz="4" w:space="0"/>
              <w:left w:val="single" w:color="auto" w:sz="4" w:space="0"/>
              <w:right w:val="single" w:color="auto" w:sz="4" w:space="0"/>
            </w:tcBorders>
            <w:vAlign w:val="center"/>
          </w:tcPr>
          <w:p w14:paraId="0E27A46B">
            <w:pPr>
              <w:pStyle w:val="11"/>
              <w:spacing w:line="360" w:lineRule="auto"/>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《政府采购促进中小企业发展管理办法》</w:t>
            </w:r>
          </w:p>
        </w:tc>
        <w:tc>
          <w:tcPr>
            <w:tcW w:w="3132" w:type="dxa"/>
            <w:tcBorders>
              <w:top w:val="single" w:color="auto" w:sz="4" w:space="0"/>
              <w:left w:val="single" w:color="auto" w:sz="4" w:space="0"/>
              <w:right w:val="single" w:color="auto" w:sz="4" w:space="0"/>
            </w:tcBorders>
            <w:vAlign w:val="center"/>
          </w:tcPr>
          <w:p w14:paraId="3F7626D6">
            <w:pPr>
              <w:pStyle w:val="11"/>
              <w:spacing w:line="360" w:lineRule="auto"/>
              <w:rPr>
                <w:rFonts w:asciiTheme="majorEastAsia" w:hAnsiTheme="majorEastAsia" w:eastAsiaTheme="majorEastAsia" w:cstheme="majorEastAsia"/>
                <w:color w:val="auto"/>
                <w:sz w:val="24"/>
                <w:szCs w:val="24"/>
                <w:highlight w:val="none"/>
                <w:u w:val="single"/>
              </w:rPr>
            </w:pPr>
            <w:r>
              <w:rPr>
                <w:rFonts w:hint="eastAsia" w:asciiTheme="majorEastAsia" w:hAnsiTheme="majorEastAsia" w:eastAsiaTheme="majorEastAsia" w:cstheme="majorEastAsia"/>
                <w:color w:val="auto"/>
                <w:sz w:val="24"/>
                <w:szCs w:val="24"/>
                <w:highlight w:val="none"/>
              </w:rPr>
              <w:t>声明函（格式附后）</w:t>
            </w:r>
          </w:p>
        </w:tc>
        <w:tc>
          <w:tcPr>
            <w:tcW w:w="2294" w:type="dxa"/>
            <w:tcBorders>
              <w:top w:val="single" w:color="auto" w:sz="4" w:space="0"/>
              <w:left w:val="single" w:color="auto" w:sz="4" w:space="0"/>
              <w:right w:val="single" w:color="auto" w:sz="4" w:space="0"/>
            </w:tcBorders>
            <w:vAlign w:val="center"/>
          </w:tcPr>
          <w:p w14:paraId="60F96B7C">
            <w:pPr>
              <w:pStyle w:val="11"/>
              <w:spacing w:line="360" w:lineRule="auto"/>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来源于投标文件部分，第页，佐证材料</w:t>
            </w:r>
          </w:p>
        </w:tc>
      </w:tr>
      <w:tr w14:paraId="212C4D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45" w:hRule="atLeast"/>
        </w:trPr>
        <w:tc>
          <w:tcPr>
            <w:tcW w:w="575" w:type="dxa"/>
            <w:tcBorders>
              <w:top w:val="single" w:color="auto" w:sz="4" w:space="0"/>
              <w:left w:val="single" w:color="auto" w:sz="4" w:space="0"/>
              <w:right w:val="single" w:color="auto" w:sz="4" w:space="0"/>
            </w:tcBorders>
            <w:vAlign w:val="center"/>
          </w:tcPr>
          <w:p w14:paraId="03F6A711">
            <w:pPr>
              <w:pStyle w:val="11"/>
              <w:spacing w:line="360" w:lineRule="auto"/>
              <w:ind w:firstLine="244" w:firstLineChars="100"/>
              <w:jc w:val="center"/>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2</w:t>
            </w:r>
          </w:p>
        </w:tc>
        <w:tc>
          <w:tcPr>
            <w:tcW w:w="3511" w:type="dxa"/>
            <w:tcBorders>
              <w:top w:val="single" w:color="auto" w:sz="4" w:space="0"/>
              <w:left w:val="single" w:color="auto" w:sz="4" w:space="0"/>
              <w:right w:val="single" w:color="auto" w:sz="4" w:space="0"/>
            </w:tcBorders>
            <w:vAlign w:val="center"/>
          </w:tcPr>
          <w:p w14:paraId="5B2BE916">
            <w:pPr>
              <w:pStyle w:val="11"/>
              <w:spacing w:line="360" w:lineRule="auto"/>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《促进残疾人就业政府采购政策的通知》</w:t>
            </w:r>
          </w:p>
        </w:tc>
        <w:tc>
          <w:tcPr>
            <w:tcW w:w="3132" w:type="dxa"/>
            <w:tcBorders>
              <w:top w:val="single" w:color="auto" w:sz="4" w:space="0"/>
              <w:left w:val="single" w:color="auto" w:sz="4" w:space="0"/>
              <w:right w:val="single" w:color="auto" w:sz="4" w:space="0"/>
            </w:tcBorders>
            <w:vAlign w:val="center"/>
          </w:tcPr>
          <w:p w14:paraId="4BFBEB12">
            <w:pPr>
              <w:pStyle w:val="11"/>
              <w:spacing w:line="360" w:lineRule="auto"/>
              <w:rPr>
                <w:rFonts w:asciiTheme="majorEastAsia" w:hAnsiTheme="majorEastAsia" w:eastAsiaTheme="majorEastAsia" w:cstheme="majorEastAsia"/>
                <w:color w:val="auto"/>
                <w:sz w:val="24"/>
                <w:szCs w:val="24"/>
                <w:highlight w:val="none"/>
                <w:u w:val="single"/>
              </w:rPr>
            </w:pPr>
            <w:r>
              <w:rPr>
                <w:rFonts w:hint="eastAsia" w:asciiTheme="majorEastAsia" w:hAnsiTheme="majorEastAsia" w:eastAsiaTheme="majorEastAsia" w:cstheme="majorEastAsia"/>
                <w:color w:val="auto"/>
                <w:sz w:val="24"/>
                <w:szCs w:val="24"/>
                <w:highlight w:val="none"/>
              </w:rPr>
              <w:t>声明函（格式附后）</w:t>
            </w:r>
          </w:p>
        </w:tc>
        <w:tc>
          <w:tcPr>
            <w:tcW w:w="2294" w:type="dxa"/>
            <w:tcBorders>
              <w:top w:val="single" w:color="auto" w:sz="4" w:space="0"/>
              <w:left w:val="single" w:color="auto" w:sz="4" w:space="0"/>
              <w:right w:val="single" w:color="auto" w:sz="4" w:space="0"/>
            </w:tcBorders>
            <w:vAlign w:val="center"/>
          </w:tcPr>
          <w:p w14:paraId="0F18090E">
            <w:pPr>
              <w:pStyle w:val="11"/>
              <w:spacing w:line="360" w:lineRule="auto"/>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来源于投标文件部分，第页，佐证材料</w:t>
            </w:r>
          </w:p>
        </w:tc>
      </w:tr>
      <w:tr w14:paraId="4D7DF0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45" w:hRule="atLeast"/>
        </w:trPr>
        <w:tc>
          <w:tcPr>
            <w:tcW w:w="575" w:type="dxa"/>
            <w:tcBorders>
              <w:top w:val="single" w:color="auto" w:sz="4" w:space="0"/>
              <w:left w:val="single" w:color="auto" w:sz="4" w:space="0"/>
              <w:right w:val="single" w:color="auto" w:sz="4" w:space="0"/>
            </w:tcBorders>
            <w:vAlign w:val="center"/>
          </w:tcPr>
          <w:p w14:paraId="1FE6E543">
            <w:pPr>
              <w:pStyle w:val="11"/>
              <w:spacing w:line="360" w:lineRule="auto"/>
              <w:ind w:firstLine="244" w:firstLineChars="100"/>
              <w:jc w:val="center"/>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3</w:t>
            </w:r>
          </w:p>
        </w:tc>
        <w:tc>
          <w:tcPr>
            <w:tcW w:w="3511" w:type="dxa"/>
            <w:tcBorders>
              <w:top w:val="single" w:color="auto" w:sz="4" w:space="0"/>
              <w:left w:val="single" w:color="auto" w:sz="4" w:space="0"/>
              <w:right w:val="single" w:color="auto" w:sz="4" w:space="0"/>
            </w:tcBorders>
            <w:vAlign w:val="center"/>
          </w:tcPr>
          <w:p w14:paraId="7B623ED9">
            <w:pPr>
              <w:pStyle w:val="11"/>
              <w:spacing w:line="360" w:lineRule="auto"/>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《关于政府采购支持监狱企业发展有关问题的通知》</w:t>
            </w:r>
          </w:p>
        </w:tc>
        <w:tc>
          <w:tcPr>
            <w:tcW w:w="3132" w:type="dxa"/>
            <w:tcBorders>
              <w:top w:val="single" w:color="auto" w:sz="4" w:space="0"/>
              <w:left w:val="single" w:color="auto" w:sz="4" w:space="0"/>
              <w:right w:val="single" w:color="auto" w:sz="4" w:space="0"/>
            </w:tcBorders>
            <w:vAlign w:val="center"/>
          </w:tcPr>
          <w:p w14:paraId="310CF820">
            <w:pPr>
              <w:pStyle w:val="11"/>
              <w:spacing w:line="360" w:lineRule="auto"/>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声明函（格式附后）</w:t>
            </w:r>
          </w:p>
        </w:tc>
        <w:tc>
          <w:tcPr>
            <w:tcW w:w="2294" w:type="dxa"/>
            <w:tcBorders>
              <w:top w:val="single" w:color="auto" w:sz="4" w:space="0"/>
              <w:left w:val="single" w:color="auto" w:sz="4" w:space="0"/>
              <w:right w:val="single" w:color="auto" w:sz="4" w:space="0"/>
            </w:tcBorders>
            <w:vAlign w:val="center"/>
          </w:tcPr>
          <w:p w14:paraId="5F9FC272">
            <w:pPr>
              <w:pStyle w:val="11"/>
              <w:spacing w:line="360" w:lineRule="auto"/>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来源于投标文件部分，第页，佐证材料</w:t>
            </w:r>
          </w:p>
        </w:tc>
      </w:tr>
      <w:tr w14:paraId="40A60D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6" w:hRule="atLeast"/>
        </w:trPr>
        <w:tc>
          <w:tcPr>
            <w:tcW w:w="575" w:type="dxa"/>
            <w:tcBorders>
              <w:top w:val="single" w:color="auto" w:sz="4" w:space="0"/>
              <w:left w:val="single" w:color="auto" w:sz="4" w:space="0"/>
              <w:bottom w:val="single" w:color="auto" w:sz="4" w:space="0"/>
              <w:right w:val="single" w:color="auto" w:sz="4" w:space="0"/>
            </w:tcBorders>
            <w:vAlign w:val="center"/>
          </w:tcPr>
          <w:p w14:paraId="6D2E82D4">
            <w:pPr>
              <w:pStyle w:val="11"/>
              <w:spacing w:line="360" w:lineRule="auto"/>
              <w:ind w:firstLine="122" w:firstLineChars="50"/>
              <w:jc w:val="center"/>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4</w:t>
            </w:r>
          </w:p>
        </w:tc>
        <w:tc>
          <w:tcPr>
            <w:tcW w:w="3511" w:type="dxa"/>
            <w:tcBorders>
              <w:top w:val="single" w:color="auto" w:sz="4" w:space="0"/>
              <w:left w:val="single" w:color="auto" w:sz="4" w:space="0"/>
              <w:bottom w:val="single" w:color="auto" w:sz="4" w:space="0"/>
              <w:right w:val="single" w:color="auto" w:sz="4" w:space="0"/>
            </w:tcBorders>
            <w:vAlign w:val="center"/>
          </w:tcPr>
          <w:p w14:paraId="18796856">
            <w:pPr>
              <w:pStyle w:val="11"/>
              <w:spacing w:line="360" w:lineRule="auto"/>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招标文件已规定享受的其他优惠政策……（如《政府采购实施条例》第六条：扶持不发达地区和少数民族地区等政策）【可根据招标文件规定和要求自行添加】</w:t>
            </w:r>
          </w:p>
        </w:tc>
        <w:tc>
          <w:tcPr>
            <w:tcW w:w="3132" w:type="dxa"/>
            <w:tcBorders>
              <w:top w:val="single" w:color="auto" w:sz="4" w:space="0"/>
              <w:left w:val="single" w:color="auto" w:sz="4" w:space="0"/>
              <w:bottom w:val="single" w:color="auto" w:sz="4" w:space="0"/>
              <w:right w:val="single" w:color="auto" w:sz="4" w:space="0"/>
            </w:tcBorders>
            <w:vAlign w:val="center"/>
          </w:tcPr>
          <w:p w14:paraId="5D59E243">
            <w:pPr>
              <w:pStyle w:val="11"/>
              <w:spacing w:line="360" w:lineRule="auto"/>
              <w:rPr>
                <w:rFonts w:asciiTheme="majorEastAsia" w:hAnsiTheme="majorEastAsia" w:eastAsiaTheme="majorEastAsia" w:cstheme="majorEastAsia"/>
                <w:color w:val="auto"/>
                <w:sz w:val="24"/>
                <w:szCs w:val="24"/>
                <w:highlight w:val="none"/>
              </w:rPr>
            </w:pPr>
          </w:p>
        </w:tc>
        <w:tc>
          <w:tcPr>
            <w:tcW w:w="2294" w:type="dxa"/>
            <w:tcBorders>
              <w:top w:val="single" w:color="auto" w:sz="4" w:space="0"/>
              <w:left w:val="single" w:color="auto" w:sz="4" w:space="0"/>
              <w:bottom w:val="single" w:color="auto" w:sz="4" w:space="0"/>
              <w:right w:val="single" w:color="auto" w:sz="4" w:space="0"/>
            </w:tcBorders>
            <w:vAlign w:val="center"/>
          </w:tcPr>
          <w:p w14:paraId="394602D3">
            <w:pPr>
              <w:pStyle w:val="11"/>
              <w:spacing w:line="360" w:lineRule="auto"/>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来源于投标文件部分，第页，佐证材料</w:t>
            </w:r>
          </w:p>
        </w:tc>
      </w:tr>
      <w:tr w14:paraId="0BC919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6" w:hRule="atLeast"/>
        </w:trPr>
        <w:tc>
          <w:tcPr>
            <w:tcW w:w="575" w:type="dxa"/>
            <w:tcBorders>
              <w:top w:val="single" w:color="auto" w:sz="4" w:space="0"/>
              <w:left w:val="single" w:color="auto" w:sz="4" w:space="0"/>
              <w:bottom w:val="single" w:color="auto" w:sz="4" w:space="0"/>
              <w:right w:val="single" w:color="auto" w:sz="4" w:space="0"/>
            </w:tcBorders>
            <w:vAlign w:val="center"/>
          </w:tcPr>
          <w:p w14:paraId="52718AC5">
            <w:pPr>
              <w:pStyle w:val="11"/>
              <w:spacing w:line="360" w:lineRule="auto"/>
              <w:ind w:firstLine="122" w:firstLineChars="50"/>
              <w:jc w:val="center"/>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5</w:t>
            </w:r>
          </w:p>
        </w:tc>
        <w:tc>
          <w:tcPr>
            <w:tcW w:w="3511" w:type="dxa"/>
            <w:tcBorders>
              <w:top w:val="single" w:color="auto" w:sz="4" w:space="0"/>
              <w:left w:val="single" w:color="auto" w:sz="4" w:space="0"/>
              <w:bottom w:val="single" w:color="auto" w:sz="4" w:space="0"/>
              <w:right w:val="single" w:color="auto" w:sz="4" w:space="0"/>
            </w:tcBorders>
            <w:vAlign w:val="center"/>
          </w:tcPr>
          <w:p w14:paraId="3665B9CF">
            <w:pPr>
              <w:pStyle w:val="11"/>
              <w:spacing w:line="360" w:lineRule="auto"/>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w:t>
            </w:r>
          </w:p>
        </w:tc>
        <w:tc>
          <w:tcPr>
            <w:tcW w:w="3132" w:type="dxa"/>
            <w:tcBorders>
              <w:top w:val="single" w:color="auto" w:sz="4" w:space="0"/>
              <w:left w:val="single" w:color="auto" w:sz="4" w:space="0"/>
              <w:bottom w:val="single" w:color="auto" w:sz="4" w:space="0"/>
              <w:right w:val="single" w:color="auto" w:sz="4" w:space="0"/>
            </w:tcBorders>
            <w:vAlign w:val="center"/>
          </w:tcPr>
          <w:p w14:paraId="2196F037">
            <w:pPr>
              <w:pStyle w:val="11"/>
              <w:spacing w:line="360" w:lineRule="auto"/>
              <w:rPr>
                <w:rFonts w:asciiTheme="majorEastAsia" w:hAnsiTheme="majorEastAsia" w:eastAsiaTheme="majorEastAsia" w:cstheme="majorEastAsia"/>
                <w:color w:val="auto"/>
                <w:sz w:val="24"/>
                <w:szCs w:val="24"/>
                <w:highlight w:val="none"/>
              </w:rPr>
            </w:pPr>
          </w:p>
        </w:tc>
        <w:tc>
          <w:tcPr>
            <w:tcW w:w="2294" w:type="dxa"/>
            <w:tcBorders>
              <w:top w:val="single" w:color="auto" w:sz="4" w:space="0"/>
              <w:left w:val="single" w:color="auto" w:sz="4" w:space="0"/>
              <w:bottom w:val="single" w:color="auto" w:sz="4" w:space="0"/>
              <w:right w:val="single" w:color="auto" w:sz="4" w:space="0"/>
            </w:tcBorders>
            <w:vAlign w:val="center"/>
          </w:tcPr>
          <w:p w14:paraId="5814AED5">
            <w:pPr>
              <w:pStyle w:val="11"/>
              <w:spacing w:line="360" w:lineRule="auto"/>
              <w:rPr>
                <w:rFonts w:asciiTheme="majorEastAsia" w:hAnsiTheme="majorEastAsia" w:eastAsiaTheme="majorEastAsia" w:cstheme="majorEastAsia"/>
                <w:color w:val="auto"/>
                <w:sz w:val="24"/>
                <w:szCs w:val="24"/>
                <w:highlight w:val="none"/>
              </w:rPr>
            </w:pPr>
          </w:p>
        </w:tc>
      </w:tr>
    </w:tbl>
    <w:p w14:paraId="488E737D">
      <w:pPr>
        <w:spacing w:line="360" w:lineRule="auto"/>
        <w:jc w:val="left"/>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备注：</w:t>
      </w:r>
    </w:p>
    <w:p w14:paraId="14223C5C">
      <w:pPr>
        <w:spacing w:line="360" w:lineRule="auto"/>
        <w:ind w:right="315"/>
        <w:jc w:val="right"/>
        <w:rPr>
          <w:rFonts w:asciiTheme="majorEastAsia" w:hAnsiTheme="majorEastAsia" w:eastAsiaTheme="majorEastAsia" w:cstheme="majorEastAsia"/>
          <w:color w:val="auto"/>
          <w:sz w:val="24"/>
          <w:highlight w:val="none"/>
        </w:rPr>
      </w:pPr>
    </w:p>
    <w:p w14:paraId="26E06633">
      <w:pPr>
        <w:spacing w:line="360" w:lineRule="auto"/>
        <w:ind w:right="315"/>
        <w:jc w:val="right"/>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投标供应商：（盖章）</w:t>
      </w:r>
    </w:p>
    <w:p w14:paraId="253F4A45">
      <w:pPr>
        <w:spacing w:line="360" w:lineRule="auto"/>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xml:space="preserve">                                                        年    月    日</w:t>
      </w:r>
    </w:p>
    <w:p w14:paraId="306614C1">
      <w:pPr>
        <w:spacing w:line="360" w:lineRule="auto"/>
        <w:rPr>
          <w:rFonts w:asciiTheme="majorEastAsia" w:hAnsiTheme="majorEastAsia" w:eastAsiaTheme="majorEastAsia" w:cstheme="majorEastAsia"/>
          <w:color w:val="auto"/>
          <w:sz w:val="24"/>
          <w:highlight w:val="none"/>
        </w:rPr>
      </w:pPr>
    </w:p>
    <w:p w14:paraId="4DB762AC">
      <w:pPr>
        <w:spacing w:line="360" w:lineRule="auto"/>
        <w:rPr>
          <w:rFonts w:asciiTheme="majorEastAsia" w:hAnsiTheme="majorEastAsia" w:eastAsiaTheme="majorEastAsia" w:cstheme="majorEastAsia"/>
          <w:color w:val="auto"/>
          <w:highlight w:val="none"/>
        </w:rPr>
      </w:pPr>
    </w:p>
    <w:p w14:paraId="21C43C6F">
      <w:pPr>
        <w:spacing w:line="360" w:lineRule="auto"/>
        <w:rPr>
          <w:rFonts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1.中小企业声明函</w:t>
      </w:r>
      <w:r>
        <w:rPr>
          <w:rFonts w:hint="eastAsia" w:asciiTheme="majorEastAsia" w:hAnsiTheme="majorEastAsia" w:eastAsiaTheme="majorEastAsia" w:cstheme="majorEastAsia"/>
          <w:color w:val="auto"/>
          <w:sz w:val="24"/>
          <w:highlight w:val="none"/>
        </w:rPr>
        <w:t>（格式如下）</w:t>
      </w:r>
    </w:p>
    <w:p w14:paraId="200BB6D3">
      <w:pPr>
        <w:widowControl/>
        <w:tabs>
          <w:tab w:val="left" w:pos="8177"/>
        </w:tabs>
        <w:spacing w:line="360" w:lineRule="auto"/>
        <w:jc w:val="left"/>
        <w:rPr>
          <w:rFonts w:asciiTheme="majorEastAsia" w:hAnsiTheme="majorEastAsia" w:eastAsiaTheme="majorEastAsia" w:cstheme="majorEastAsia"/>
          <w:b/>
          <w:color w:val="auto"/>
          <w:kern w:val="0"/>
          <w:sz w:val="36"/>
          <w:szCs w:val="36"/>
          <w:highlight w:val="none"/>
        </w:rPr>
      </w:pPr>
      <w:r>
        <w:rPr>
          <w:rFonts w:hint="eastAsia" w:asciiTheme="majorEastAsia" w:hAnsiTheme="majorEastAsia" w:eastAsiaTheme="majorEastAsia" w:cstheme="majorEastAsia"/>
          <w:b/>
          <w:color w:val="auto"/>
          <w:kern w:val="0"/>
          <w:sz w:val="36"/>
          <w:szCs w:val="36"/>
          <w:highlight w:val="none"/>
        </w:rPr>
        <w:tab/>
      </w:r>
    </w:p>
    <w:p w14:paraId="24FE2359">
      <w:pPr>
        <w:widowControl/>
        <w:spacing w:line="360" w:lineRule="auto"/>
        <w:jc w:val="center"/>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b/>
          <w:color w:val="auto"/>
          <w:kern w:val="0"/>
          <w:sz w:val="36"/>
          <w:szCs w:val="36"/>
          <w:highlight w:val="none"/>
          <w:lang w:bidi="ar"/>
        </w:rPr>
        <w:t>中小企业声明函（服务）</w:t>
      </w:r>
    </w:p>
    <w:p w14:paraId="05CF1C1D">
      <w:pPr>
        <w:spacing w:line="360" w:lineRule="auto"/>
        <w:ind w:firstLine="488" w:firstLineChars="200"/>
        <w:rPr>
          <w:rFonts w:ascii="宋体" w:hAnsi="宋体"/>
          <w:sz w:val="24"/>
        </w:rPr>
      </w:pPr>
      <w:r>
        <w:rPr>
          <w:rFonts w:hint="eastAsia" w:ascii="宋体" w:hAnsi="宋体"/>
          <w:sz w:val="24"/>
        </w:rPr>
        <w:t>本公司郑重声明，根据《政府采购促进中小企业发展暂行办法》（财库</w:t>
      </w:r>
      <w:r>
        <w:rPr>
          <w:rFonts w:ascii="宋体" w:hAnsi="宋体"/>
          <w:sz w:val="24"/>
        </w:rPr>
        <w:t>[20</w:t>
      </w:r>
      <w:r>
        <w:rPr>
          <w:rFonts w:hint="eastAsia" w:ascii="宋体" w:hAnsi="宋体"/>
          <w:sz w:val="24"/>
        </w:rPr>
        <w:t>20</w:t>
      </w:r>
      <w:r>
        <w:rPr>
          <w:rFonts w:ascii="宋体" w:hAnsi="宋体"/>
          <w:sz w:val="24"/>
        </w:rPr>
        <w:t>]</w:t>
      </w:r>
      <w:r>
        <w:rPr>
          <w:rFonts w:hint="eastAsia" w:ascii="宋体" w:hAnsi="宋体"/>
          <w:sz w:val="24"/>
        </w:rPr>
        <w:t>46号）的规定和《工业和信息化部、国家统计局、国家发展和改革委员会、财政部关于印发中小企业划型标准规定的通知》（工信部联企业</w:t>
      </w:r>
      <w:r>
        <w:rPr>
          <w:rFonts w:ascii="宋体" w:hAnsi="宋体"/>
          <w:sz w:val="24"/>
        </w:rPr>
        <w:t xml:space="preserve">[2011]300 </w:t>
      </w:r>
      <w:r>
        <w:rPr>
          <w:rFonts w:hint="eastAsia" w:ascii="宋体" w:hAnsi="宋体"/>
          <w:sz w:val="24"/>
        </w:rPr>
        <w:t>号）规定的划分标准：</w:t>
      </w:r>
    </w:p>
    <w:p w14:paraId="75762726">
      <w:pPr>
        <w:spacing w:line="360" w:lineRule="auto"/>
        <w:ind w:firstLine="488" w:firstLineChars="200"/>
        <w:rPr>
          <w:rFonts w:ascii="宋体" w:hAnsi="宋体"/>
          <w:sz w:val="24"/>
        </w:rPr>
      </w:pPr>
      <w:r>
        <w:rPr>
          <w:rFonts w:hint="eastAsia" w:ascii="宋体" w:hAnsi="宋体"/>
          <w:sz w:val="24"/>
        </w:rPr>
        <w:t>第四条第</w:t>
      </w:r>
      <w:r>
        <w:rPr>
          <w:rFonts w:hint="eastAsia" w:ascii="宋体" w:hAnsi="宋体"/>
          <w:sz w:val="24"/>
          <w:u w:val="single"/>
        </w:rPr>
        <w:t xml:space="preserve">   </w:t>
      </w:r>
      <w:r>
        <w:rPr>
          <w:rFonts w:hint="eastAsia" w:ascii="宋体" w:hAnsi="宋体"/>
          <w:sz w:val="24"/>
        </w:rPr>
        <w:t>项</w:t>
      </w:r>
      <w:r>
        <w:rPr>
          <w:rFonts w:hint="eastAsia" w:ascii="宋体" w:hAnsi="宋体"/>
          <w:sz w:val="24"/>
          <w:u w:val="single"/>
        </w:rPr>
        <w:t xml:space="preserve">   </w:t>
      </w:r>
      <w:r>
        <w:rPr>
          <w:rFonts w:hint="eastAsia" w:ascii="宋体" w:hAnsi="宋体"/>
          <w:sz w:val="24"/>
        </w:rPr>
        <w:t>行业，本公司为（请填写：中型、小型、微型）企业。</w:t>
      </w:r>
    </w:p>
    <w:p w14:paraId="50C8D9DC">
      <w:pPr>
        <w:spacing w:line="360" w:lineRule="auto"/>
        <w:ind w:firstLine="488" w:firstLineChars="200"/>
        <w:rPr>
          <w:rFonts w:ascii="宋体" w:hAnsi="宋体"/>
          <w:sz w:val="24"/>
        </w:rPr>
      </w:pPr>
      <w:r>
        <w:rPr>
          <w:rFonts w:hint="eastAsia" w:ascii="宋体" w:hAnsi="宋体"/>
          <w:sz w:val="24"/>
        </w:rPr>
        <w:t>本公司对上述声明的真实性负责。如有虚假，将依法承担相应责任。</w:t>
      </w:r>
    </w:p>
    <w:p w14:paraId="445AACE8">
      <w:pPr>
        <w:spacing w:line="360" w:lineRule="auto"/>
        <w:ind w:firstLine="488" w:firstLineChars="200"/>
        <w:jc w:val="center"/>
        <w:rPr>
          <w:rFonts w:ascii="宋体" w:hAnsi="宋体"/>
          <w:sz w:val="24"/>
        </w:rPr>
      </w:pPr>
    </w:p>
    <w:p w14:paraId="65A80DE8">
      <w:pPr>
        <w:spacing w:line="360" w:lineRule="auto"/>
        <w:ind w:firstLine="488" w:firstLineChars="200"/>
        <w:jc w:val="center"/>
        <w:rPr>
          <w:rFonts w:ascii="宋体" w:hAnsi="宋体"/>
          <w:sz w:val="24"/>
        </w:rPr>
      </w:pPr>
      <w:r>
        <w:rPr>
          <w:rFonts w:hint="eastAsia" w:ascii="宋体" w:hAnsi="宋体"/>
          <w:sz w:val="24"/>
        </w:rPr>
        <w:t xml:space="preserve"> 企业名称（单位盖</w:t>
      </w:r>
      <w:r>
        <w:rPr>
          <w:rFonts w:hint="eastAsia"/>
          <w:spacing w:val="4"/>
          <w:sz w:val="24"/>
        </w:rPr>
        <w:t>公章</w:t>
      </w:r>
      <w:r>
        <w:rPr>
          <w:rFonts w:hint="eastAsia" w:ascii="宋体" w:hAnsi="宋体"/>
          <w:sz w:val="24"/>
        </w:rPr>
        <w:t>）：</w:t>
      </w:r>
    </w:p>
    <w:p w14:paraId="6CB8E52B">
      <w:pPr>
        <w:widowControl/>
        <w:spacing w:line="360" w:lineRule="auto"/>
        <w:ind w:firstLine="488" w:firstLineChars="200"/>
        <w:jc w:val="left"/>
        <w:rPr>
          <w:rFonts w:asciiTheme="majorEastAsia" w:hAnsiTheme="majorEastAsia" w:eastAsiaTheme="majorEastAsia" w:cstheme="majorEastAsia"/>
          <w:color w:val="auto"/>
          <w:sz w:val="24"/>
          <w:highlight w:val="none"/>
        </w:rPr>
      </w:pPr>
      <w:r>
        <w:rPr>
          <w:rFonts w:hint="eastAsia" w:asciiTheme="minorEastAsia" w:hAnsiTheme="minorEastAsia" w:eastAsiaTheme="minorEastAsia" w:cstheme="minorEastAsia"/>
          <w:kern w:val="0"/>
          <w:sz w:val="24"/>
          <w:highlight w:val="yellow"/>
        </w:rPr>
        <w:t xml:space="preserve">                 日期：</w:t>
      </w:r>
    </w:p>
    <w:p w14:paraId="4C8CE6CA">
      <w:pPr>
        <w:widowControl/>
        <w:spacing w:line="360" w:lineRule="auto"/>
        <w:jc w:val="right"/>
        <w:rPr>
          <w:rFonts w:asciiTheme="majorEastAsia" w:hAnsiTheme="majorEastAsia" w:eastAsiaTheme="majorEastAsia" w:cstheme="majorEastAsia"/>
          <w:color w:val="auto"/>
          <w:kern w:val="0"/>
          <w:sz w:val="24"/>
          <w:highlight w:val="none"/>
          <w:lang w:bidi="ar"/>
        </w:rPr>
      </w:pPr>
    </w:p>
    <w:p w14:paraId="43898B28">
      <w:pPr>
        <w:widowControl/>
        <w:spacing w:line="360" w:lineRule="auto"/>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kern w:val="0"/>
          <w:sz w:val="24"/>
          <w:highlight w:val="none"/>
          <w:lang w:bidi="ar"/>
        </w:rPr>
        <w:t xml:space="preserve">                           </w:t>
      </w:r>
    </w:p>
    <w:p w14:paraId="2817B299">
      <w:pPr>
        <w:widowControl/>
        <w:spacing w:line="360" w:lineRule="auto"/>
        <w:jc w:val="left"/>
        <w:rPr>
          <w:rFonts w:asciiTheme="majorEastAsia" w:hAnsiTheme="majorEastAsia" w:eastAsiaTheme="majorEastAsia" w:cstheme="majorEastAsia"/>
          <w:color w:val="auto"/>
          <w:sz w:val="24"/>
          <w:highlight w:val="none"/>
        </w:rPr>
      </w:pPr>
    </w:p>
    <w:p w14:paraId="5FFF2808">
      <w:pPr>
        <w:widowControl/>
        <w:spacing w:line="360" w:lineRule="auto"/>
        <w:rPr>
          <w:rFonts w:asciiTheme="majorEastAsia" w:hAnsiTheme="majorEastAsia" w:eastAsiaTheme="majorEastAsia" w:cstheme="majorEastAsia"/>
          <w:color w:val="auto"/>
          <w:sz w:val="24"/>
          <w:highlight w:val="none"/>
        </w:rPr>
      </w:pPr>
    </w:p>
    <w:p w14:paraId="583723C6">
      <w:pPr>
        <w:spacing w:line="360" w:lineRule="auto"/>
        <w:rPr>
          <w:rFonts w:asciiTheme="majorEastAsia" w:hAnsiTheme="majorEastAsia" w:eastAsiaTheme="majorEastAsia" w:cstheme="majorEastAsia"/>
          <w:color w:val="auto"/>
          <w:sz w:val="24"/>
          <w:highlight w:val="none"/>
        </w:rPr>
      </w:pPr>
    </w:p>
    <w:p w14:paraId="60F0D455">
      <w:pPr>
        <w:spacing w:line="360" w:lineRule="auto"/>
        <w:rPr>
          <w:rFonts w:asciiTheme="majorEastAsia" w:hAnsiTheme="majorEastAsia" w:eastAsiaTheme="majorEastAsia" w:cstheme="majorEastAsia"/>
          <w:color w:val="auto"/>
          <w:sz w:val="24"/>
          <w:highlight w:val="none"/>
        </w:rPr>
      </w:pPr>
    </w:p>
    <w:p w14:paraId="2221A4F0">
      <w:pPr>
        <w:spacing w:line="360" w:lineRule="auto"/>
        <w:rPr>
          <w:rFonts w:asciiTheme="majorEastAsia" w:hAnsiTheme="majorEastAsia" w:eastAsiaTheme="majorEastAsia" w:cstheme="majorEastAsia"/>
          <w:color w:val="auto"/>
          <w:kern w:val="0"/>
          <w:sz w:val="18"/>
          <w:szCs w:val="18"/>
          <w:highlight w:val="none"/>
          <w:u w:val="single"/>
        </w:rPr>
      </w:pPr>
    </w:p>
    <w:p w14:paraId="176DDF70">
      <w:pPr>
        <w:spacing w:line="360" w:lineRule="auto"/>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kern w:val="0"/>
          <w:sz w:val="18"/>
          <w:szCs w:val="18"/>
          <w:highlight w:val="none"/>
        </w:rPr>
        <w:t>¹从业人员、营业收入、资产总额填报上一年度数据，无上一年度数据的新成立企业可不填报。</w:t>
      </w:r>
    </w:p>
    <w:p w14:paraId="74A11A8D">
      <w:pPr>
        <w:spacing w:line="360" w:lineRule="auto"/>
        <w:ind w:firstLine="480"/>
        <w:rPr>
          <w:rFonts w:asciiTheme="majorEastAsia" w:hAnsiTheme="majorEastAsia" w:eastAsiaTheme="majorEastAsia" w:cstheme="majorEastAsia"/>
          <w:color w:val="auto"/>
          <w:sz w:val="24"/>
          <w:highlight w:val="none"/>
        </w:rPr>
      </w:pPr>
    </w:p>
    <w:p w14:paraId="2DD9E2E4">
      <w:pPr>
        <w:pStyle w:val="19"/>
        <w:spacing w:line="360" w:lineRule="auto"/>
        <w:ind w:left="429" w:firstLine="429"/>
        <w:rPr>
          <w:rFonts w:asciiTheme="majorEastAsia" w:hAnsiTheme="majorEastAsia" w:eastAsiaTheme="majorEastAsia" w:cstheme="majorEastAsia"/>
          <w:color w:val="auto"/>
          <w:highlight w:val="none"/>
        </w:rPr>
      </w:pPr>
    </w:p>
    <w:p w14:paraId="21757CE4">
      <w:pPr>
        <w:pStyle w:val="19"/>
        <w:spacing w:line="360" w:lineRule="auto"/>
        <w:ind w:left="429" w:firstLine="429"/>
        <w:rPr>
          <w:rFonts w:asciiTheme="majorEastAsia" w:hAnsiTheme="majorEastAsia" w:eastAsiaTheme="majorEastAsia" w:cstheme="majorEastAsia"/>
          <w:color w:val="auto"/>
          <w:highlight w:val="none"/>
        </w:rPr>
      </w:pPr>
    </w:p>
    <w:p w14:paraId="39087CF9">
      <w:pPr>
        <w:pStyle w:val="19"/>
        <w:spacing w:line="360" w:lineRule="auto"/>
        <w:ind w:left="429" w:firstLine="429"/>
        <w:rPr>
          <w:rFonts w:asciiTheme="majorEastAsia" w:hAnsiTheme="majorEastAsia" w:eastAsiaTheme="majorEastAsia" w:cstheme="majorEastAsia"/>
          <w:color w:val="auto"/>
          <w:highlight w:val="none"/>
        </w:rPr>
      </w:pPr>
    </w:p>
    <w:p w14:paraId="3BF15DBD">
      <w:pPr>
        <w:pStyle w:val="19"/>
        <w:spacing w:line="360" w:lineRule="auto"/>
        <w:ind w:left="429" w:firstLine="429"/>
        <w:rPr>
          <w:rFonts w:asciiTheme="majorEastAsia" w:hAnsiTheme="majorEastAsia" w:eastAsiaTheme="majorEastAsia" w:cstheme="majorEastAsia"/>
          <w:color w:val="auto"/>
          <w:highlight w:val="none"/>
        </w:rPr>
      </w:pPr>
    </w:p>
    <w:p w14:paraId="0F007E9C">
      <w:pPr>
        <w:pStyle w:val="19"/>
        <w:spacing w:line="360" w:lineRule="auto"/>
        <w:ind w:left="429" w:firstLine="429"/>
        <w:rPr>
          <w:rFonts w:asciiTheme="majorEastAsia" w:hAnsiTheme="majorEastAsia" w:eastAsiaTheme="majorEastAsia" w:cstheme="majorEastAsia"/>
          <w:color w:val="auto"/>
          <w:highlight w:val="none"/>
        </w:rPr>
      </w:pPr>
    </w:p>
    <w:p w14:paraId="28390075">
      <w:pPr>
        <w:pStyle w:val="19"/>
        <w:spacing w:line="360" w:lineRule="auto"/>
        <w:ind w:left="429" w:firstLine="429"/>
        <w:rPr>
          <w:rFonts w:asciiTheme="majorEastAsia" w:hAnsiTheme="majorEastAsia" w:eastAsiaTheme="majorEastAsia" w:cstheme="majorEastAsia"/>
          <w:color w:val="auto"/>
          <w:highlight w:val="none"/>
        </w:rPr>
      </w:pPr>
    </w:p>
    <w:p w14:paraId="59378164">
      <w:pPr>
        <w:pStyle w:val="19"/>
        <w:spacing w:line="360" w:lineRule="auto"/>
        <w:ind w:left="429" w:firstLine="429"/>
        <w:rPr>
          <w:rFonts w:asciiTheme="majorEastAsia" w:hAnsiTheme="majorEastAsia" w:eastAsiaTheme="majorEastAsia" w:cstheme="majorEastAsia"/>
          <w:color w:val="auto"/>
          <w:highlight w:val="none"/>
        </w:rPr>
      </w:pPr>
    </w:p>
    <w:p w14:paraId="733BB32B">
      <w:pPr>
        <w:spacing w:line="360" w:lineRule="auto"/>
        <w:ind w:firstLine="48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2.残疾人福利性单位声明函（格式如下）</w:t>
      </w:r>
    </w:p>
    <w:p w14:paraId="2D9A12C2">
      <w:pPr>
        <w:spacing w:line="360" w:lineRule="auto"/>
        <w:ind w:firstLine="723"/>
        <w:jc w:val="center"/>
        <w:rPr>
          <w:rFonts w:asciiTheme="majorEastAsia" w:hAnsiTheme="majorEastAsia" w:eastAsiaTheme="majorEastAsia" w:cstheme="majorEastAsia"/>
          <w:b/>
          <w:color w:val="auto"/>
          <w:kern w:val="0"/>
          <w:sz w:val="36"/>
          <w:szCs w:val="36"/>
          <w:highlight w:val="none"/>
        </w:rPr>
      </w:pPr>
    </w:p>
    <w:p w14:paraId="5C4606A3">
      <w:pPr>
        <w:spacing w:line="360" w:lineRule="auto"/>
        <w:ind w:firstLine="723"/>
        <w:jc w:val="center"/>
        <w:rPr>
          <w:rFonts w:asciiTheme="majorEastAsia" w:hAnsiTheme="majorEastAsia" w:eastAsiaTheme="majorEastAsia" w:cstheme="majorEastAsia"/>
          <w:b/>
          <w:color w:val="auto"/>
          <w:kern w:val="0"/>
          <w:sz w:val="36"/>
          <w:szCs w:val="36"/>
          <w:highlight w:val="none"/>
        </w:rPr>
      </w:pPr>
      <w:r>
        <w:rPr>
          <w:rFonts w:hint="eastAsia" w:asciiTheme="majorEastAsia" w:hAnsiTheme="majorEastAsia" w:eastAsiaTheme="majorEastAsia" w:cstheme="majorEastAsia"/>
          <w:b/>
          <w:color w:val="auto"/>
          <w:kern w:val="0"/>
          <w:sz w:val="36"/>
          <w:szCs w:val="36"/>
          <w:highlight w:val="none"/>
        </w:rPr>
        <w:t>残疾人福利性单位声明函</w:t>
      </w:r>
    </w:p>
    <w:p w14:paraId="139D35CC">
      <w:pPr>
        <w:spacing w:line="360" w:lineRule="auto"/>
        <w:ind w:firstLine="723"/>
        <w:jc w:val="center"/>
        <w:rPr>
          <w:rFonts w:asciiTheme="majorEastAsia" w:hAnsiTheme="majorEastAsia" w:eastAsiaTheme="majorEastAsia" w:cstheme="majorEastAsia"/>
          <w:b/>
          <w:color w:val="auto"/>
          <w:kern w:val="0"/>
          <w:sz w:val="36"/>
          <w:szCs w:val="36"/>
          <w:highlight w:val="none"/>
        </w:rPr>
      </w:pPr>
    </w:p>
    <w:p w14:paraId="1F1D7D44">
      <w:pPr>
        <w:spacing w:line="360" w:lineRule="auto"/>
        <w:ind w:firstLine="480"/>
        <w:rPr>
          <w:rFonts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本单位郑重声明，根据《财政部民政部中国残疾人联合会关于促进残疾人就业政府采购政策的通知》（财库〔2017〕 141号）的规定，本单位为符合条件的残疾人福利性单位，且本单位参加______单位的______项目采购活动由本单位提供服务。</w:t>
      </w:r>
    </w:p>
    <w:p w14:paraId="382911B7">
      <w:pPr>
        <w:spacing w:line="360" w:lineRule="auto"/>
        <w:ind w:firstLine="480"/>
        <w:rPr>
          <w:rFonts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本单位对上述声明的真实性负责。如有虚假，将依法承担相应责任。</w:t>
      </w:r>
    </w:p>
    <w:p w14:paraId="4883EA53">
      <w:pPr>
        <w:spacing w:line="360" w:lineRule="auto"/>
        <w:ind w:firstLine="480"/>
        <w:rPr>
          <w:rFonts w:asciiTheme="majorEastAsia" w:hAnsiTheme="majorEastAsia" w:eastAsiaTheme="majorEastAsia" w:cstheme="majorEastAsia"/>
          <w:color w:val="auto"/>
          <w:kern w:val="0"/>
          <w:sz w:val="24"/>
          <w:highlight w:val="none"/>
        </w:rPr>
      </w:pPr>
    </w:p>
    <w:p w14:paraId="0F53527D">
      <w:pPr>
        <w:spacing w:line="360" w:lineRule="auto"/>
        <w:ind w:firstLine="480"/>
        <w:rPr>
          <w:rFonts w:asciiTheme="majorEastAsia" w:hAnsiTheme="majorEastAsia" w:eastAsiaTheme="majorEastAsia" w:cstheme="majorEastAsia"/>
          <w:color w:val="auto"/>
          <w:kern w:val="0"/>
          <w:sz w:val="24"/>
          <w:highlight w:val="none"/>
        </w:rPr>
      </w:pPr>
    </w:p>
    <w:p w14:paraId="0527BAE6">
      <w:pPr>
        <w:tabs>
          <w:tab w:val="left" w:pos="4860"/>
        </w:tabs>
        <w:spacing w:line="360" w:lineRule="auto"/>
        <w:ind w:right="1560" w:firstLine="480"/>
        <w:jc w:val="right"/>
        <w:rPr>
          <w:rFonts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单位名称（盖章）：</w:t>
      </w:r>
    </w:p>
    <w:p w14:paraId="4F1A4A4E">
      <w:pPr>
        <w:tabs>
          <w:tab w:val="left" w:pos="4860"/>
        </w:tabs>
        <w:spacing w:line="360" w:lineRule="auto"/>
        <w:ind w:right="1560" w:firstLine="480"/>
        <w:jc w:val="right"/>
        <w:rPr>
          <w:rFonts w:asciiTheme="majorEastAsia" w:hAnsiTheme="majorEastAsia" w:eastAsiaTheme="majorEastAsia" w:cstheme="majorEastAsia"/>
          <w:color w:val="auto"/>
          <w:kern w:val="0"/>
          <w:highlight w:val="none"/>
        </w:rPr>
      </w:pPr>
      <w:r>
        <w:rPr>
          <w:rFonts w:hint="eastAsia" w:asciiTheme="majorEastAsia" w:hAnsiTheme="majorEastAsia" w:eastAsiaTheme="majorEastAsia" w:cstheme="majorEastAsia"/>
          <w:color w:val="auto"/>
          <w:kern w:val="0"/>
          <w:sz w:val="24"/>
          <w:highlight w:val="none"/>
        </w:rPr>
        <w:t>日期：</w:t>
      </w:r>
    </w:p>
    <w:p w14:paraId="1B3DC600">
      <w:pPr>
        <w:spacing w:line="360" w:lineRule="auto"/>
        <w:ind w:firstLine="482"/>
        <w:jc w:val="right"/>
        <w:rPr>
          <w:rFonts w:asciiTheme="majorEastAsia" w:hAnsiTheme="majorEastAsia" w:eastAsiaTheme="majorEastAsia" w:cstheme="majorEastAsia"/>
          <w:b/>
          <w:color w:val="auto"/>
          <w:highlight w:val="none"/>
        </w:rPr>
      </w:pPr>
    </w:p>
    <w:p w14:paraId="3555B3C3">
      <w:pPr>
        <w:spacing w:line="360" w:lineRule="auto"/>
        <w:ind w:firstLine="482"/>
        <w:jc w:val="center"/>
        <w:rPr>
          <w:rFonts w:asciiTheme="majorEastAsia" w:hAnsiTheme="majorEastAsia" w:eastAsiaTheme="majorEastAsia" w:cstheme="majorEastAsia"/>
          <w:b/>
          <w:color w:val="auto"/>
          <w:highlight w:val="none"/>
        </w:rPr>
      </w:pPr>
    </w:p>
    <w:p w14:paraId="54708E61">
      <w:pPr>
        <w:spacing w:line="360" w:lineRule="auto"/>
        <w:ind w:firstLine="482"/>
        <w:jc w:val="center"/>
        <w:rPr>
          <w:rFonts w:asciiTheme="majorEastAsia" w:hAnsiTheme="majorEastAsia" w:eastAsiaTheme="majorEastAsia" w:cstheme="majorEastAsia"/>
          <w:b/>
          <w:color w:val="auto"/>
          <w:highlight w:val="none"/>
        </w:rPr>
      </w:pPr>
    </w:p>
    <w:p w14:paraId="7F82283B">
      <w:pPr>
        <w:spacing w:line="360" w:lineRule="auto"/>
        <w:ind w:firstLine="482"/>
        <w:jc w:val="center"/>
        <w:rPr>
          <w:rFonts w:asciiTheme="majorEastAsia" w:hAnsiTheme="majorEastAsia" w:eastAsiaTheme="majorEastAsia" w:cstheme="majorEastAsia"/>
          <w:b/>
          <w:color w:val="auto"/>
          <w:highlight w:val="none"/>
        </w:rPr>
      </w:pPr>
    </w:p>
    <w:p w14:paraId="4B88FCA3">
      <w:pPr>
        <w:pStyle w:val="2"/>
        <w:spacing w:line="360" w:lineRule="auto"/>
        <w:ind w:firstLine="571"/>
        <w:rPr>
          <w:rFonts w:asciiTheme="majorEastAsia" w:hAnsiTheme="majorEastAsia" w:eastAsiaTheme="majorEastAsia" w:cstheme="majorEastAsia"/>
          <w:color w:val="auto"/>
          <w:highlight w:val="none"/>
        </w:rPr>
      </w:pPr>
    </w:p>
    <w:p w14:paraId="3C5B87B1">
      <w:pPr>
        <w:pStyle w:val="2"/>
        <w:spacing w:line="360" w:lineRule="auto"/>
        <w:ind w:firstLine="571"/>
        <w:rPr>
          <w:rFonts w:asciiTheme="majorEastAsia" w:hAnsiTheme="majorEastAsia" w:eastAsiaTheme="majorEastAsia" w:cstheme="majorEastAsia"/>
          <w:color w:val="auto"/>
          <w:highlight w:val="none"/>
        </w:rPr>
      </w:pPr>
    </w:p>
    <w:p w14:paraId="716BB319">
      <w:pPr>
        <w:pStyle w:val="2"/>
        <w:spacing w:line="360" w:lineRule="auto"/>
        <w:ind w:firstLine="571"/>
        <w:rPr>
          <w:rFonts w:asciiTheme="majorEastAsia" w:hAnsiTheme="majorEastAsia" w:eastAsiaTheme="majorEastAsia" w:cstheme="majorEastAsia"/>
          <w:color w:val="auto"/>
          <w:highlight w:val="none"/>
        </w:rPr>
      </w:pPr>
    </w:p>
    <w:p w14:paraId="3E5C7B21">
      <w:pPr>
        <w:pStyle w:val="2"/>
        <w:spacing w:line="360" w:lineRule="auto"/>
        <w:ind w:firstLine="571"/>
        <w:rPr>
          <w:rFonts w:asciiTheme="majorEastAsia" w:hAnsiTheme="majorEastAsia" w:eastAsiaTheme="majorEastAsia" w:cstheme="majorEastAsia"/>
          <w:color w:val="auto"/>
          <w:highlight w:val="none"/>
        </w:rPr>
      </w:pPr>
    </w:p>
    <w:p w14:paraId="7815877D">
      <w:pPr>
        <w:spacing w:line="360" w:lineRule="auto"/>
        <w:rPr>
          <w:rFonts w:asciiTheme="majorEastAsia" w:hAnsiTheme="majorEastAsia" w:eastAsiaTheme="majorEastAsia" w:cstheme="majorEastAsia"/>
          <w:b/>
          <w:color w:val="auto"/>
          <w:highlight w:val="none"/>
        </w:rPr>
      </w:pPr>
    </w:p>
    <w:p w14:paraId="1564785A">
      <w:pPr>
        <w:spacing w:line="360" w:lineRule="auto"/>
        <w:rPr>
          <w:rFonts w:asciiTheme="majorEastAsia" w:hAnsiTheme="majorEastAsia" w:eastAsiaTheme="majorEastAsia" w:cstheme="majorEastAsia"/>
          <w:b/>
          <w:color w:val="auto"/>
          <w:highlight w:val="none"/>
        </w:rPr>
      </w:pPr>
    </w:p>
    <w:p w14:paraId="5A3060E4">
      <w:pPr>
        <w:spacing w:line="360" w:lineRule="auto"/>
        <w:rPr>
          <w:rFonts w:asciiTheme="majorEastAsia" w:hAnsiTheme="majorEastAsia" w:eastAsiaTheme="majorEastAsia" w:cstheme="majorEastAsia"/>
          <w:b/>
          <w:color w:val="auto"/>
          <w:highlight w:val="none"/>
        </w:rPr>
      </w:pPr>
    </w:p>
    <w:p w14:paraId="7EB7D560">
      <w:pPr>
        <w:pStyle w:val="7"/>
        <w:ind w:firstLine="429"/>
        <w:rPr>
          <w:rFonts w:asciiTheme="majorEastAsia" w:hAnsiTheme="majorEastAsia" w:eastAsiaTheme="majorEastAsia" w:cstheme="majorEastAsia"/>
          <w:color w:val="auto"/>
          <w:highlight w:val="none"/>
        </w:rPr>
      </w:pPr>
    </w:p>
    <w:p w14:paraId="5A50DC3E">
      <w:pPr>
        <w:spacing w:line="360" w:lineRule="auto"/>
        <w:ind w:firstLine="482"/>
        <w:rPr>
          <w:rFonts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3.监狱企业声明函</w:t>
      </w:r>
      <w:r>
        <w:rPr>
          <w:rFonts w:hint="eastAsia" w:asciiTheme="majorEastAsia" w:hAnsiTheme="majorEastAsia" w:eastAsiaTheme="majorEastAsia" w:cstheme="majorEastAsia"/>
          <w:color w:val="auto"/>
          <w:sz w:val="24"/>
          <w:highlight w:val="none"/>
        </w:rPr>
        <w:t>（格式如下）</w:t>
      </w:r>
    </w:p>
    <w:p w14:paraId="068468E9">
      <w:pPr>
        <w:spacing w:line="360" w:lineRule="auto"/>
        <w:jc w:val="center"/>
        <w:rPr>
          <w:rFonts w:asciiTheme="majorEastAsia" w:hAnsiTheme="majorEastAsia" w:eastAsiaTheme="majorEastAsia" w:cstheme="majorEastAsia"/>
          <w:b/>
          <w:color w:val="auto"/>
          <w:kern w:val="0"/>
          <w:sz w:val="36"/>
          <w:szCs w:val="36"/>
          <w:highlight w:val="none"/>
        </w:rPr>
      </w:pPr>
    </w:p>
    <w:p w14:paraId="10C5BAAC">
      <w:pPr>
        <w:spacing w:line="360" w:lineRule="auto"/>
        <w:jc w:val="center"/>
        <w:rPr>
          <w:rFonts w:asciiTheme="majorEastAsia" w:hAnsiTheme="majorEastAsia" w:eastAsiaTheme="majorEastAsia" w:cstheme="majorEastAsia"/>
          <w:color w:val="auto"/>
          <w:kern w:val="0"/>
          <w:highlight w:val="none"/>
        </w:rPr>
      </w:pPr>
      <w:r>
        <w:rPr>
          <w:rFonts w:hint="eastAsia" w:asciiTheme="majorEastAsia" w:hAnsiTheme="majorEastAsia" w:eastAsiaTheme="majorEastAsia" w:cstheme="majorEastAsia"/>
          <w:b/>
          <w:color w:val="auto"/>
          <w:kern w:val="0"/>
          <w:sz w:val="36"/>
          <w:szCs w:val="36"/>
          <w:highlight w:val="none"/>
        </w:rPr>
        <w:t>监狱性单位声明函</w:t>
      </w:r>
    </w:p>
    <w:p w14:paraId="0C2178C9">
      <w:pPr>
        <w:spacing w:line="360" w:lineRule="auto"/>
        <w:ind w:firstLine="480"/>
        <w:rPr>
          <w:rFonts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本单位郑重声明，根据《财政部 司法部关于政府采购支持监狱企业发展有关问题的通知》(财库〔2014〕68号)的规定，本单位为符合条件的监狱性单位，且本单位参加______单位的______项目采购活动由提供服务，享受预留份额、评审中价格扣除等政府采购促进中小企业发展的政府采购政策。</w:t>
      </w:r>
    </w:p>
    <w:p w14:paraId="031062C5">
      <w:pPr>
        <w:spacing w:line="360" w:lineRule="auto"/>
        <w:ind w:firstLine="480"/>
        <w:rPr>
          <w:rFonts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本单位对上述声明的真实性负责。如有虚假，将依法承担相应责任。</w:t>
      </w:r>
    </w:p>
    <w:p w14:paraId="4AA40F08">
      <w:pPr>
        <w:spacing w:line="360" w:lineRule="auto"/>
        <w:ind w:firstLine="480"/>
        <w:rPr>
          <w:rFonts w:asciiTheme="majorEastAsia" w:hAnsiTheme="majorEastAsia" w:eastAsiaTheme="majorEastAsia" w:cstheme="majorEastAsia"/>
          <w:color w:val="auto"/>
          <w:kern w:val="0"/>
          <w:sz w:val="24"/>
          <w:highlight w:val="none"/>
        </w:rPr>
      </w:pPr>
    </w:p>
    <w:p w14:paraId="08F2FC2D">
      <w:pPr>
        <w:tabs>
          <w:tab w:val="left" w:pos="4860"/>
        </w:tabs>
        <w:spacing w:line="360" w:lineRule="auto"/>
        <w:ind w:right="1560" w:firstLine="480"/>
        <w:jc w:val="right"/>
        <w:rPr>
          <w:rFonts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单位名称（盖章）：</w:t>
      </w:r>
    </w:p>
    <w:p w14:paraId="5CD0B074">
      <w:pPr>
        <w:spacing w:line="360" w:lineRule="auto"/>
        <w:ind w:right="480" w:firstLine="480"/>
        <w:jc w:val="right"/>
        <w:rPr>
          <w:rFonts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color w:val="auto"/>
          <w:kern w:val="0"/>
          <w:sz w:val="24"/>
          <w:highlight w:val="none"/>
        </w:rPr>
        <w:t>日期：</w:t>
      </w:r>
    </w:p>
    <w:p w14:paraId="2E22B564">
      <w:pPr>
        <w:spacing w:line="360" w:lineRule="auto"/>
        <w:ind w:firstLine="480"/>
        <w:rPr>
          <w:rFonts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附件：狱企业参加政府采购活动时，应当提供由省级以上监狱管理局、戒毒管理局（含新疆生产建设兵团）出具的属于监狱企业的证明文件</w:t>
      </w:r>
    </w:p>
    <w:p w14:paraId="18B3CE6A">
      <w:pPr>
        <w:spacing w:line="360" w:lineRule="auto"/>
        <w:ind w:firstLine="480"/>
        <w:rPr>
          <w:rFonts w:asciiTheme="majorEastAsia" w:hAnsiTheme="majorEastAsia" w:eastAsiaTheme="majorEastAsia" w:cstheme="majorEastAsia"/>
          <w:color w:val="auto"/>
          <w:highlight w:val="none"/>
        </w:rPr>
      </w:pPr>
    </w:p>
    <w:p w14:paraId="601132ED">
      <w:pPr>
        <w:pStyle w:val="8"/>
        <w:spacing w:line="360" w:lineRule="auto"/>
        <w:ind w:firstLine="488" w:firstLineChars="200"/>
        <w:jc w:val="left"/>
        <w:rPr>
          <w:rFonts w:asciiTheme="majorEastAsia" w:hAnsiTheme="majorEastAsia" w:eastAsiaTheme="majorEastAsia" w:cstheme="majorEastAsia"/>
          <w:color w:val="auto"/>
          <w:sz w:val="24"/>
          <w:highlight w:val="none"/>
        </w:rPr>
      </w:pPr>
    </w:p>
    <w:p w14:paraId="1F4715BD">
      <w:pPr>
        <w:pStyle w:val="8"/>
        <w:spacing w:line="360" w:lineRule="auto"/>
        <w:ind w:firstLine="488" w:firstLineChars="200"/>
        <w:jc w:val="left"/>
        <w:rPr>
          <w:rFonts w:asciiTheme="majorEastAsia" w:hAnsiTheme="majorEastAsia" w:eastAsiaTheme="majorEastAsia" w:cstheme="majorEastAsia"/>
          <w:color w:val="auto"/>
          <w:sz w:val="24"/>
          <w:highlight w:val="none"/>
        </w:rPr>
      </w:pPr>
    </w:p>
    <w:p w14:paraId="7C9FF3A2">
      <w:pPr>
        <w:pStyle w:val="8"/>
        <w:spacing w:line="360" w:lineRule="auto"/>
        <w:ind w:firstLine="488" w:firstLineChars="200"/>
        <w:jc w:val="left"/>
        <w:rPr>
          <w:rFonts w:asciiTheme="majorEastAsia" w:hAnsiTheme="majorEastAsia" w:eastAsiaTheme="majorEastAsia" w:cstheme="majorEastAsia"/>
          <w:color w:val="auto"/>
          <w:sz w:val="24"/>
          <w:highlight w:val="none"/>
        </w:rPr>
      </w:pPr>
    </w:p>
    <w:p w14:paraId="6DF96B07">
      <w:pPr>
        <w:pStyle w:val="8"/>
        <w:spacing w:line="360" w:lineRule="auto"/>
        <w:jc w:val="left"/>
        <w:rPr>
          <w:rFonts w:asciiTheme="majorEastAsia" w:hAnsiTheme="majorEastAsia" w:eastAsiaTheme="majorEastAsia" w:cstheme="majorEastAsia"/>
          <w:color w:val="auto"/>
          <w:sz w:val="24"/>
          <w:highlight w:val="none"/>
        </w:rPr>
      </w:pPr>
    </w:p>
    <w:p w14:paraId="2E3FD013">
      <w:pPr>
        <w:pStyle w:val="8"/>
        <w:spacing w:line="360" w:lineRule="auto"/>
        <w:jc w:val="left"/>
        <w:rPr>
          <w:rFonts w:asciiTheme="majorEastAsia" w:hAnsiTheme="majorEastAsia" w:eastAsiaTheme="majorEastAsia" w:cstheme="majorEastAsia"/>
          <w:color w:val="auto"/>
          <w:sz w:val="24"/>
          <w:highlight w:val="none"/>
        </w:rPr>
      </w:pPr>
    </w:p>
    <w:p w14:paraId="118C7EE1">
      <w:pPr>
        <w:pStyle w:val="8"/>
        <w:spacing w:line="360" w:lineRule="auto"/>
        <w:jc w:val="left"/>
        <w:rPr>
          <w:rFonts w:asciiTheme="majorEastAsia" w:hAnsiTheme="majorEastAsia" w:eastAsiaTheme="majorEastAsia" w:cstheme="majorEastAsia"/>
          <w:color w:val="auto"/>
          <w:sz w:val="24"/>
          <w:highlight w:val="none"/>
        </w:rPr>
      </w:pPr>
    </w:p>
    <w:p w14:paraId="036C6BB2">
      <w:pPr>
        <w:pStyle w:val="8"/>
        <w:spacing w:line="360" w:lineRule="auto"/>
        <w:jc w:val="left"/>
        <w:rPr>
          <w:rFonts w:asciiTheme="majorEastAsia" w:hAnsiTheme="majorEastAsia" w:eastAsiaTheme="majorEastAsia" w:cstheme="majorEastAsia"/>
          <w:color w:val="auto"/>
          <w:sz w:val="24"/>
          <w:highlight w:val="none"/>
        </w:rPr>
      </w:pPr>
    </w:p>
    <w:p w14:paraId="7E1A02E1">
      <w:pPr>
        <w:pStyle w:val="8"/>
        <w:spacing w:line="360" w:lineRule="auto"/>
        <w:jc w:val="left"/>
        <w:rPr>
          <w:rFonts w:asciiTheme="majorEastAsia" w:hAnsiTheme="majorEastAsia" w:eastAsiaTheme="majorEastAsia" w:cstheme="majorEastAsia"/>
          <w:color w:val="auto"/>
          <w:sz w:val="24"/>
          <w:highlight w:val="none"/>
        </w:rPr>
      </w:pPr>
    </w:p>
    <w:p w14:paraId="3A467AEF">
      <w:pPr>
        <w:pStyle w:val="8"/>
        <w:spacing w:line="360" w:lineRule="auto"/>
        <w:jc w:val="left"/>
        <w:rPr>
          <w:rFonts w:asciiTheme="majorEastAsia" w:hAnsiTheme="majorEastAsia" w:eastAsiaTheme="majorEastAsia" w:cstheme="majorEastAsia"/>
          <w:color w:val="auto"/>
          <w:sz w:val="24"/>
          <w:highlight w:val="none"/>
        </w:rPr>
      </w:pPr>
    </w:p>
    <w:p w14:paraId="0F2C7967">
      <w:pPr>
        <w:pStyle w:val="8"/>
        <w:spacing w:line="360" w:lineRule="auto"/>
        <w:jc w:val="left"/>
        <w:rPr>
          <w:rFonts w:asciiTheme="majorEastAsia" w:hAnsiTheme="majorEastAsia" w:eastAsiaTheme="majorEastAsia" w:cstheme="majorEastAsia"/>
          <w:color w:val="auto"/>
          <w:sz w:val="24"/>
          <w:highlight w:val="none"/>
        </w:rPr>
      </w:pPr>
    </w:p>
    <w:p w14:paraId="53884F33">
      <w:pPr>
        <w:pStyle w:val="8"/>
        <w:spacing w:line="360" w:lineRule="auto"/>
        <w:jc w:val="left"/>
        <w:rPr>
          <w:rFonts w:asciiTheme="majorEastAsia" w:hAnsiTheme="majorEastAsia" w:eastAsiaTheme="majorEastAsia" w:cstheme="majorEastAsia"/>
          <w:color w:val="auto"/>
          <w:sz w:val="24"/>
          <w:highlight w:val="none"/>
        </w:rPr>
      </w:pPr>
    </w:p>
    <w:p w14:paraId="4B55C8A1">
      <w:pPr>
        <w:pStyle w:val="8"/>
        <w:spacing w:line="360" w:lineRule="auto"/>
        <w:jc w:val="left"/>
        <w:rPr>
          <w:rFonts w:asciiTheme="majorEastAsia" w:hAnsiTheme="majorEastAsia" w:eastAsiaTheme="majorEastAsia" w:cstheme="majorEastAsia"/>
          <w:color w:val="auto"/>
          <w:sz w:val="24"/>
          <w:highlight w:val="none"/>
        </w:rPr>
      </w:pPr>
    </w:p>
    <w:p w14:paraId="6835AAEF">
      <w:pPr>
        <w:spacing w:before="317" w:beforeLines="100" w:after="317" w:afterLines="100" w:line="360" w:lineRule="auto"/>
        <w:jc w:val="left"/>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4.节能环保产品声明或情况说明及证明材料（格式如下）</w:t>
      </w:r>
    </w:p>
    <w:p w14:paraId="74D66707">
      <w:pPr>
        <w:autoSpaceDE w:val="0"/>
        <w:autoSpaceDN w:val="0"/>
        <w:adjustRightInd w:val="0"/>
        <w:spacing w:before="317" w:beforeLines="100" w:after="317" w:afterLines="100" w:line="360" w:lineRule="auto"/>
        <w:jc w:val="left"/>
        <w:rPr>
          <w:rFonts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4.1.如招标项目标的产品不涉及到节能环保产品则，《节能环保产品声明函》改为《节能环保产品的情况说明》格式自拟，要求加盖投标供应商公章。</w:t>
      </w:r>
    </w:p>
    <w:p w14:paraId="4B7C0EED">
      <w:pPr>
        <w:spacing w:line="360" w:lineRule="auto"/>
        <w:ind w:left="79" w:hanging="79"/>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kern w:val="0"/>
          <w:sz w:val="24"/>
          <w:highlight w:val="none"/>
        </w:rPr>
        <w:t>要求及注意事项：投标产品属于节能环保产品目录的提供财政部官网截屏作为证明文件并加盖供应商公章，</w:t>
      </w:r>
      <w:r>
        <w:rPr>
          <w:rFonts w:hint="eastAsia" w:asciiTheme="majorEastAsia" w:hAnsiTheme="majorEastAsia" w:eastAsiaTheme="majorEastAsia" w:cstheme="majorEastAsia"/>
          <w:color w:val="auto"/>
          <w:sz w:val="24"/>
          <w:highlight w:val="none"/>
        </w:rPr>
        <w:t>复印或扫描件必需清晰，</w:t>
      </w:r>
      <w:r>
        <w:rPr>
          <w:rFonts w:hint="eastAsia" w:asciiTheme="majorEastAsia" w:hAnsiTheme="majorEastAsia" w:eastAsiaTheme="majorEastAsia" w:cstheme="majorEastAsia"/>
          <w:color w:val="auto"/>
          <w:sz w:val="24"/>
          <w:highlight w:val="none"/>
          <w:lang w:val="zh-CN"/>
        </w:rPr>
        <w:t>投标人应保证复印件或扫描件清晰可辨识相关内容，且真实有效。</w:t>
      </w:r>
    </w:p>
    <w:p w14:paraId="5CA4FA14">
      <w:pPr>
        <w:autoSpaceDE w:val="0"/>
        <w:autoSpaceDN w:val="0"/>
        <w:adjustRightInd w:val="0"/>
        <w:spacing w:before="317" w:beforeLines="100" w:after="317" w:afterLines="100" w:line="360" w:lineRule="auto"/>
        <w:jc w:val="left"/>
        <w:rPr>
          <w:rFonts w:asciiTheme="majorEastAsia" w:hAnsiTheme="majorEastAsia" w:eastAsiaTheme="majorEastAsia" w:cstheme="majorEastAsia"/>
          <w:color w:val="auto"/>
          <w:kern w:val="0"/>
          <w:sz w:val="24"/>
          <w:highlight w:val="none"/>
        </w:rPr>
      </w:pPr>
    </w:p>
    <w:p w14:paraId="4C12425C">
      <w:pPr>
        <w:pStyle w:val="9"/>
        <w:spacing w:before="317" w:beforeLines="100" w:after="317" w:afterLines="100" w:line="360" w:lineRule="auto"/>
        <w:ind w:left="429"/>
        <w:jc w:val="center"/>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b/>
          <w:bCs/>
          <w:color w:val="auto"/>
          <w:sz w:val="36"/>
          <w:szCs w:val="36"/>
          <w:highlight w:val="none"/>
        </w:rPr>
        <w:t>节能环保产品声明函</w:t>
      </w:r>
    </w:p>
    <w:p w14:paraId="480C80C9">
      <w:pPr>
        <w:autoSpaceDE w:val="0"/>
        <w:autoSpaceDN w:val="0"/>
        <w:adjustRightInd w:val="0"/>
        <w:spacing w:before="317" w:beforeLines="100" w:after="317" w:afterLines="100" w:line="360" w:lineRule="auto"/>
        <w:jc w:val="left"/>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致：</w:t>
      </w:r>
      <w:r>
        <w:rPr>
          <w:rFonts w:hint="eastAsia" w:asciiTheme="majorEastAsia" w:hAnsiTheme="majorEastAsia" w:eastAsiaTheme="majorEastAsia" w:cstheme="majorEastAsia"/>
          <w:color w:val="auto"/>
          <w:sz w:val="24"/>
          <w:highlight w:val="none"/>
          <w:u w:val="single"/>
        </w:rPr>
        <w:t xml:space="preserve">  （采购人名称） </w:t>
      </w:r>
      <w:r>
        <w:rPr>
          <w:rFonts w:hint="eastAsia" w:asciiTheme="majorEastAsia" w:hAnsiTheme="majorEastAsia" w:eastAsiaTheme="majorEastAsia" w:cstheme="majorEastAsia"/>
          <w:color w:val="auto"/>
          <w:sz w:val="24"/>
          <w:highlight w:val="none"/>
        </w:rPr>
        <w:t>：</w:t>
      </w:r>
    </w:p>
    <w:p w14:paraId="647B2B40">
      <w:pPr>
        <w:autoSpaceDE w:val="0"/>
        <w:autoSpaceDN w:val="0"/>
        <w:adjustRightInd w:val="0"/>
        <w:spacing w:before="317" w:beforeLines="100" w:after="317" w:afterLines="100" w:line="360" w:lineRule="auto"/>
        <w:ind w:firstLine="488" w:firstLineChars="200"/>
        <w:jc w:val="left"/>
        <w:rPr>
          <w:rFonts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本公司郑重声明，本次投标中本公司所投产品为财政部、国家发展改革委关第</w:t>
      </w:r>
      <w:r>
        <w:rPr>
          <w:rFonts w:hint="eastAsia" w:asciiTheme="majorEastAsia" w:hAnsiTheme="majorEastAsia" w:eastAsiaTheme="majorEastAsia" w:cstheme="majorEastAsia"/>
          <w:color w:val="auto"/>
          <w:kern w:val="0"/>
          <w:sz w:val="24"/>
          <w:highlight w:val="none"/>
          <w:u w:val="single"/>
        </w:rPr>
        <w:t>XXX（必需是最新一期）</w:t>
      </w:r>
      <w:r>
        <w:rPr>
          <w:rFonts w:hint="eastAsia" w:asciiTheme="majorEastAsia" w:hAnsiTheme="majorEastAsia" w:eastAsiaTheme="majorEastAsia" w:cstheme="majorEastAsia"/>
          <w:color w:val="auto"/>
          <w:kern w:val="0"/>
          <w:sz w:val="24"/>
          <w:highlight w:val="none"/>
        </w:rPr>
        <w:t>期节能产品政府采购清单产品，制造商为</w:t>
      </w:r>
      <w:r>
        <w:rPr>
          <w:rFonts w:hint="eastAsia" w:asciiTheme="majorEastAsia" w:hAnsiTheme="majorEastAsia" w:eastAsiaTheme="majorEastAsia" w:cstheme="majorEastAsia"/>
          <w:color w:val="auto"/>
          <w:sz w:val="24"/>
          <w:highlight w:val="none"/>
        </w:rPr>
        <w:t xml:space="preserve"> ，</w:t>
      </w:r>
      <w:r>
        <w:rPr>
          <w:rFonts w:hint="eastAsia" w:asciiTheme="majorEastAsia" w:hAnsiTheme="majorEastAsia" w:eastAsiaTheme="majorEastAsia" w:cstheme="majorEastAsia"/>
          <w:color w:val="auto"/>
          <w:kern w:val="0"/>
          <w:sz w:val="24"/>
          <w:highlight w:val="none"/>
        </w:rPr>
        <w:t>品牌为</w:t>
      </w:r>
      <w:r>
        <w:rPr>
          <w:rFonts w:hint="eastAsia" w:asciiTheme="majorEastAsia" w:hAnsiTheme="majorEastAsia" w:eastAsiaTheme="majorEastAsia" w:cstheme="majorEastAsia"/>
          <w:color w:val="auto"/>
          <w:sz w:val="24"/>
          <w:highlight w:val="none"/>
        </w:rPr>
        <w:t>，产品型号为：，，节字标志认证证书号为 ，节能产品认证证书有效期截止日期为</w:t>
      </w:r>
      <w:r>
        <w:rPr>
          <w:rFonts w:hint="eastAsia" w:asciiTheme="majorEastAsia" w:hAnsiTheme="majorEastAsia" w:eastAsiaTheme="majorEastAsia" w:cstheme="majorEastAsia"/>
          <w:color w:val="auto"/>
          <w:kern w:val="0"/>
          <w:sz w:val="24"/>
          <w:highlight w:val="none"/>
        </w:rPr>
        <w:t>。</w:t>
      </w:r>
    </w:p>
    <w:p w14:paraId="37E2BE94">
      <w:pPr>
        <w:autoSpaceDE w:val="0"/>
        <w:autoSpaceDN w:val="0"/>
        <w:adjustRightInd w:val="0"/>
        <w:spacing w:before="317" w:beforeLines="100" w:after="317" w:afterLines="100" w:line="360" w:lineRule="auto"/>
        <w:ind w:firstLine="488" w:firstLineChars="200"/>
        <w:jc w:val="left"/>
        <w:rPr>
          <w:rFonts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本公司对上述声明的真实性负责。如有虚假，将依法承担相应责任。</w:t>
      </w:r>
    </w:p>
    <w:p w14:paraId="74CF118A">
      <w:pPr>
        <w:autoSpaceDE w:val="0"/>
        <w:autoSpaceDN w:val="0"/>
        <w:adjustRightInd w:val="0"/>
        <w:spacing w:before="317" w:beforeLines="100" w:after="317" w:afterLines="100" w:line="360" w:lineRule="auto"/>
        <w:ind w:firstLine="488" w:firstLineChars="200"/>
        <w:jc w:val="left"/>
        <w:rPr>
          <w:rFonts w:asciiTheme="majorEastAsia" w:hAnsiTheme="majorEastAsia" w:eastAsiaTheme="majorEastAsia" w:cstheme="majorEastAsia"/>
          <w:color w:val="auto"/>
          <w:kern w:val="0"/>
          <w:sz w:val="24"/>
          <w:highlight w:val="none"/>
        </w:rPr>
      </w:pPr>
    </w:p>
    <w:p w14:paraId="138B1C8F">
      <w:pPr>
        <w:adjustRightInd w:val="0"/>
        <w:spacing w:before="317" w:beforeLines="100" w:after="317" w:afterLines="100" w:line="360" w:lineRule="auto"/>
        <w:ind w:firstLine="488" w:firstLineChars="200"/>
        <w:jc w:val="right"/>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供应商名称（盖章）：XXXXXXX有限公司</w:t>
      </w:r>
    </w:p>
    <w:p w14:paraId="37634121">
      <w:pPr>
        <w:adjustRightInd w:val="0"/>
        <w:spacing w:before="317" w:beforeLines="100" w:after="317" w:afterLines="100" w:line="360" w:lineRule="auto"/>
        <w:ind w:firstLine="488" w:firstLineChars="200"/>
        <w:jc w:val="right"/>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xml:space="preserve">法定代表人或授权代表（签字）：                </w:t>
      </w:r>
    </w:p>
    <w:p w14:paraId="66AD0ACB">
      <w:pPr>
        <w:spacing w:before="317" w:beforeLines="100" w:after="317" w:afterLines="100" w:line="360" w:lineRule="auto"/>
        <w:jc w:val="right"/>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投标日期：</w:t>
      </w:r>
    </w:p>
    <w:p w14:paraId="582AF508">
      <w:pPr>
        <w:pStyle w:val="8"/>
        <w:spacing w:line="360" w:lineRule="auto"/>
        <w:ind w:firstLine="488" w:firstLineChars="200"/>
        <w:jc w:val="left"/>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附件：节能环保产品采购清单的财政部网站截屏或其他有效证明文件，加盖投标供应商公章。</w:t>
      </w:r>
    </w:p>
    <w:p w14:paraId="017726E7">
      <w:pPr>
        <w:spacing w:line="360" w:lineRule="auto"/>
        <w:jc w:val="center"/>
        <w:rPr>
          <w:rFonts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36"/>
          <w:szCs w:val="36"/>
          <w:highlight w:val="none"/>
        </w:rPr>
        <w:t>十三  其他</w:t>
      </w:r>
    </w:p>
    <w:p w14:paraId="19E988DE">
      <w:pPr>
        <w:widowControl/>
        <w:jc w:val="left"/>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kern w:val="0"/>
          <w:szCs w:val="21"/>
          <w:highlight w:val="none"/>
          <w:lang w:bidi="ar"/>
        </w:rPr>
        <w:t xml:space="preserve">供应商认为需要提供的其他资料，格式自拟 </w:t>
      </w:r>
    </w:p>
    <w:p w14:paraId="4014EFBB">
      <w:pPr>
        <w:spacing w:line="360" w:lineRule="auto"/>
        <w:jc w:val="left"/>
        <w:rPr>
          <w:rFonts w:asciiTheme="majorEastAsia" w:hAnsiTheme="majorEastAsia" w:eastAsiaTheme="majorEastAsia" w:cstheme="majorEastAsia"/>
          <w:color w:val="auto"/>
          <w:sz w:val="24"/>
          <w:highlight w:val="none"/>
        </w:rPr>
      </w:pPr>
    </w:p>
    <w:p w14:paraId="16DBC5FB">
      <w:pPr>
        <w:pStyle w:val="8"/>
        <w:spacing w:line="360" w:lineRule="auto"/>
        <w:ind w:firstLine="488" w:firstLineChars="200"/>
        <w:jc w:val="left"/>
        <w:rPr>
          <w:rFonts w:asciiTheme="majorEastAsia" w:hAnsiTheme="majorEastAsia" w:eastAsiaTheme="majorEastAsia" w:cstheme="majorEastAsia"/>
          <w:color w:val="auto"/>
          <w:sz w:val="24"/>
          <w:highlight w:val="none"/>
        </w:rPr>
      </w:pPr>
    </w:p>
    <w:p w14:paraId="4F828E0C">
      <w:pPr>
        <w:pStyle w:val="8"/>
        <w:spacing w:line="360" w:lineRule="auto"/>
        <w:ind w:firstLine="488" w:firstLineChars="200"/>
        <w:jc w:val="left"/>
        <w:rPr>
          <w:rFonts w:asciiTheme="majorEastAsia" w:hAnsiTheme="majorEastAsia" w:eastAsiaTheme="majorEastAsia" w:cstheme="majorEastAsia"/>
          <w:color w:val="auto"/>
          <w:sz w:val="24"/>
          <w:highlight w:val="none"/>
        </w:rPr>
      </w:pPr>
    </w:p>
    <w:p w14:paraId="6E15023F">
      <w:pPr>
        <w:pStyle w:val="8"/>
        <w:spacing w:line="360" w:lineRule="auto"/>
        <w:ind w:firstLine="488" w:firstLineChars="200"/>
        <w:jc w:val="left"/>
        <w:rPr>
          <w:rFonts w:asciiTheme="majorEastAsia" w:hAnsiTheme="majorEastAsia" w:eastAsiaTheme="majorEastAsia" w:cstheme="majorEastAsia"/>
          <w:color w:val="auto"/>
          <w:sz w:val="24"/>
          <w:highlight w:val="none"/>
        </w:rPr>
      </w:pPr>
    </w:p>
    <w:p w14:paraId="740427BC">
      <w:pPr>
        <w:pStyle w:val="8"/>
        <w:spacing w:line="360" w:lineRule="auto"/>
        <w:ind w:firstLine="488" w:firstLineChars="200"/>
        <w:jc w:val="left"/>
        <w:rPr>
          <w:rFonts w:asciiTheme="majorEastAsia" w:hAnsiTheme="majorEastAsia" w:eastAsiaTheme="majorEastAsia" w:cstheme="majorEastAsia"/>
          <w:color w:val="auto"/>
          <w:sz w:val="24"/>
          <w:highlight w:val="none"/>
        </w:rPr>
      </w:pPr>
    </w:p>
    <w:p w14:paraId="625A66DA">
      <w:pPr>
        <w:pStyle w:val="8"/>
        <w:spacing w:line="360" w:lineRule="auto"/>
        <w:ind w:firstLine="488" w:firstLineChars="200"/>
        <w:jc w:val="left"/>
        <w:rPr>
          <w:rFonts w:asciiTheme="majorEastAsia" w:hAnsiTheme="majorEastAsia" w:eastAsiaTheme="majorEastAsia" w:cstheme="majorEastAsia"/>
          <w:color w:val="auto"/>
          <w:sz w:val="24"/>
          <w:highlight w:val="none"/>
        </w:rPr>
      </w:pPr>
    </w:p>
    <w:p w14:paraId="6164D98D">
      <w:pPr>
        <w:pStyle w:val="8"/>
        <w:spacing w:line="360" w:lineRule="auto"/>
        <w:ind w:firstLine="488" w:firstLineChars="200"/>
        <w:jc w:val="left"/>
        <w:rPr>
          <w:rFonts w:asciiTheme="majorEastAsia" w:hAnsiTheme="majorEastAsia" w:eastAsiaTheme="majorEastAsia" w:cstheme="majorEastAsia"/>
          <w:color w:val="auto"/>
          <w:sz w:val="24"/>
          <w:highlight w:val="none"/>
        </w:rPr>
      </w:pPr>
    </w:p>
    <w:p w14:paraId="54F5EB43">
      <w:pPr>
        <w:pStyle w:val="8"/>
        <w:spacing w:line="360" w:lineRule="auto"/>
        <w:ind w:firstLine="488" w:firstLineChars="200"/>
        <w:jc w:val="left"/>
        <w:rPr>
          <w:rFonts w:asciiTheme="majorEastAsia" w:hAnsiTheme="majorEastAsia" w:eastAsiaTheme="majorEastAsia" w:cstheme="majorEastAsia"/>
          <w:color w:val="auto"/>
          <w:sz w:val="24"/>
          <w:highlight w:val="none"/>
        </w:rPr>
      </w:pPr>
    </w:p>
    <w:p w14:paraId="7B865838">
      <w:pPr>
        <w:pStyle w:val="8"/>
        <w:spacing w:line="360" w:lineRule="auto"/>
        <w:ind w:firstLine="488" w:firstLineChars="200"/>
        <w:jc w:val="left"/>
        <w:rPr>
          <w:rFonts w:asciiTheme="majorEastAsia" w:hAnsiTheme="majorEastAsia" w:eastAsiaTheme="majorEastAsia" w:cstheme="majorEastAsia"/>
          <w:color w:val="auto"/>
          <w:sz w:val="24"/>
          <w:highlight w:val="none"/>
        </w:rPr>
      </w:pPr>
    </w:p>
    <w:p w14:paraId="6EB2D689">
      <w:pPr>
        <w:pStyle w:val="8"/>
        <w:spacing w:line="360" w:lineRule="auto"/>
        <w:ind w:firstLine="488" w:firstLineChars="200"/>
        <w:jc w:val="left"/>
        <w:rPr>
          <w:rFonts w:asciiTheme="majorEastAsia" w:hAnsiTheme="majorEastAsia" w:eastAsiaTheme="majorEastAsia" w:cstheme="majorEastAsia"/>
          <w:color w:val="auto"/>
          <w:sz w:val="24"/>
          <w:highlight w:val="none"/>
        </w:rPr>
      </w:pPr>
    </w:p>
    <w:p w14:paraId="2226DAD7">
      <w:pPr>
        <w:pStyle w:val="8"/>
        <w:spacing w:line="360" w:lineRule="auto"/>
        <w:ind w:firstLine="488" w:firstLineChars="200"/>
        <w:jc w:val="left"/>
        <w:rPr>
          <w:rFonts w:asciiTheme="majorEastAsia" w:hAnsiTheme="majorEastAsia" w:eastAsiaTheme="majorEastAsia" w:cstheme="majorEastAsia"/>
          <w:color w:val="auto"/>
          <w:sz w:val="24"/>
          <w:highlight w:val="none"/>
        </w:rPr>
      </w:pPr>
    </w:p>
    <w:p w14:paraId="6C65028C">
      <w:pPr>
        <w:pStyle w:val="8"/>
        <w:spacing w:line="360" w:lineRule="auto"/>
        <w:ind w:firstLine="488" w:firstLineChars="200"/>
        <w:jc w:val="left"/>
        <w:rPr>
          <w:rFonts w:asciiTheme="majorEastAsia" w:hAnsiTheme="majorEastAsia" w:eastAsiaTheme="majorEastAsia" w:cstheme="majorEastAsia"/>
          <w:color w:val="auto"/>
          <w:sz w:val="24"/>
          <w:highlight w:val="none"/>
        </w:rPr>
      </w:pPr>
    </w:p>
    <w:p w14:paraId="68152B3B">
      <w:pPr>
        <w:pStyle w:val="8"/>
        <w:spacing w:line="360" w:lineRule="auto"/>
        <w:ind w:firstLine="488" w:firstLineChars="200"/>
        <w:jc w:val="left"/>
        <w:rPr>
          <w:rFonts w:asciiTheme="majorEastAsia" w:hAnsiTheme="majorEastAsia" w:eastAsiaTheme="majorEastAsia" w:cstheme="majorEastAsia"/>
          <w:color w:val="auto"/>
          <w:sz w:val="24"/>
          <w:highlight w:val="none"/>
        </w:rPr>
      </w:pPr>
    </w:p>
    <w:p w14:paraId="23ADCCAB">
      <w:pPr>
        <w:pStyle w:val="8"/>
        <w:spacing w:line="360" w:lineRule="auto"/>
        <w:ind w:firstLine="488" w:firstLineChars="200"/>
        <w:jc w:val="left"/>
        <w:rPr>
          <w:rFonts w:asciiTheme="majorEastAsia" w:hAnsiTheme="majorEastAsia" w:eastAsiaTheme="majorEastAsia" w:cstheme="majorEastAsia"/>
          <w:color w:val="auto"/>
          <w:sz w:val="24"/>
          <w:highlight w:val="none"/>
        </w:rPr>
      </w:pPr>
    </w:p>
    <w:p w14:paraId="53F3A8F4">
      <w:pPr>
        <w:pStyle w:val="8"/>
        <w:spacing w:line="360" w:lineRule="auto"/>
        <w:ind w:firstLine="488" w:firstLineChars="200"/>
        <w:jc w:val="left"/>
        <w:rPr>
          <w:rFonts w:asciiTheme="majorEastAsia" w:hAnsiTheme="majorEastAsia" w:eastAsiaTheme="majorEastAsia" w:cstheme="majorEastAsia"/>
          <w:color w:val="auto"/>
          <w:sz w:val="24"/>
          <w:highlight w:val="none"/>
        </w:rPr>
      </w:pPr>
    </w:p>
    <w:p w14:paraId="2C24EC4D">
      <w:pPr>
        <w:pStyle w:val="8"/>
        <w:spacing w:line="360" w:lineRule="auto"/>
        <w:ind w:firstLine="488" w:firstLineChars="200"/>
        <w:jc w:val="left"/>
        <w:rPr>
          <w:rFonts w:asciiTheme="majorEastAsia" w:hAnsiTheme="majorEastAsia" w:eastAsiaTheme="majorEastAsia" w:cstheme="majorEastAsia"/>
          <w:color w:val="auto"/>
          <w:sz w:val="24"/>
          <w:highlight w:val="none"/>
        </w:rPr>
      </w:pPr>
    </w:p>
    <w:p w14:paraId="2B91AFCC">
      <w:pPr>
        <w:pStyle w:val="8"/>
        <w:spacing w:line="360" w:lineRule="auto"/>
        <w:jc w:val="left"/>
        <w:rPr>
          <w:rFonts w:asciiTheme="majorEastAsia" w:hAnsiTheme="majorEastAsia" w:eastAsiaTheme="majorEastAsia" w:cstheme="majorEastAsia"/>
          <w:color w:val="auto"/>
          <w:sz w:val="24"/>
          <w:highlight w:val="none"/>
        </w:rPr>
      </w:pPr>
    </w:p>
    <w:p w14:paraId="344B9268">
      <w:pPr>
        <w:pStyle w:val="2"/>
        <w:ind w:firstLine="0" w:firstLineChars="0"/>
        <w:rPr>
          <w:rFonts w:asciiTheme="majorEastAsia" w:hAnsiTheme="majorEastAsia" w:eastAsiaTheme="majorEastAsia" w:cstheme="majorEastAsia"/>
          <w:color w:val="auto"/>
          <w:highlight w:val="none"/>
        </w:rPr>
      </w:pPr>
    </w:p>
    <w:sectPr>
      <w:footerReference r:id="rId6" w:type="default"/>
      <w:pgSz w:w="11906" w:h="16838"/>
      <w:pgMar w:top="1440" w:right="1276" w:bottom="1440" w:left="1417" w:header="851" w:footer="992" w:gutter="0"/>
      <w:cols w:space="0" w:num="1"/>
      <w:docGrid w:type="linesAndChars" w:linePitch="317" w:charSpace="87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2ECE5B">
    <w:pPr>
      <w:spacing w:line="178" w:lineRule="auto"/>
      <w:ind w:left="4085"/>
      <w:rPr>
        <w:rFonts w:eastAsia="Calibri" w:cs="Calibri"/>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1A8B32">
    <w:pPr>
      <w:pStyle w:val="1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30F856">
    <w:pPr>
      <w:pStyle w:val="13"/>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227001917"/>
                          </w:sdtPr>
                          <w:sdtContent>
                            <w:p w14:paraId="16BA2E8F">
                              <w:pPr>
                                <w:pStyle w:val="13"/>
                                <w:jc w:val="center"/>
                              </w:pPr>
                              <w:r>
                                <w:fldChar w:fldCharType="begin"/>
                              </w:r>
                              <w:r>
                                <w:instrText xml:space="preserve"> PAGE   \* MERGEFORMAT </w:instrText>
                              </w:r>
                              <w:r>
                                <w:fldChar w:fldCharType="separate"/>
                              </w:r>
                              <w:r>
                                <w:rPr>
                                  <w:lang w:val="zh-CN"/>
                                </w:rPr>
                                <w:t>90</w:t>
                              </w:r>
                              <w:r>
                                <w:rPr>
                                  <w:lang w:val="zh-CN"/>
                                </w:rPr>
                                <w:fldChar w:fldCharType="end"/>
                              </w:r>
                            </w:p>
                          </w:sdtContent>
                        </w:sdt>
                        <w:p w14:paraId="734B1AA7">
                          <w:pPr>
                            <w:pStyle w:val="7"/>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sdt>
                    <w:sdtPr>
                      <w:id w:val="227001917"/>
                    </w:sdtPr>
                    <w:sdtContent>
                      <w:p w14:paraId="16BA2E8F">
                        <w:pPr>
                          <w:pStyle w:val="13"/>
                          <w:jc w:val="center"/>
                        </w:pPr>
                        <w:r>
                          <w:fldChar w:fldCharType="begin"/>
                        </w:r>
                        <w:r>
                          <w:instrText xml:space="preserve"> PAGE   \* MERGEFORMAT </w:instrText>
                        </w:r>
                        <w:r>
                          <w:fldChar w:fldCharType="separate"/>
                        </w:r>
                        <w:r>
                          <w:rPr>
                            <w:lang w:val="zh-CN"/>
                          </w:rPr>
                          <w:t>90</w:t>
                        </w:r>
                        <w:r>
                          <w:rPr>
                            <w:lang w:val="zh-CN"/>
                          </w:rPr>
                          <w:fldChar w:fldCharType="end"/>
                        </w:r>
                      </w:p>
                    </w:sdtContent>
                  </w:sdt>
                  <w:p w14:paraId="734B1AA7">
                    <w:pPr>
                      <w:pStyle w:val="7"/>
                    </w:pPr>
                  </w:p>
                </w:txbxContent>
              </v:textbox>
            </v:shape>
          </w:pict>
        </mc:Fallback>
      </mc:AlternateContent>
    </w:r>
  </w:p>
  <w:p w14:paraId="27C59F25">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37E3C9">
    <w:pPr>
      <w:pStyle w:val="14"/>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A84E32"/>
    <w:multiLevelType w:val="singleLevel"/>
    <w:tmpl w:val="C4A84E32"/>
    <w:lvl w:ilvl="0" w:tentative="0">
      <w:start w:val="5"/>
      <w:numFmt w:val="chineseCounting"/>
      <w:suff w:val="space"/>
      <w:lvlText w:val="第%1章"/>
      <w:lvlJc w:val="left"/>
      <w:rPr>
        <w:rFonts w:hint="eastAsia"/>
      </w:rPr>
    </w:lvl>
  </w:abstractNum>
  <w:abstractNum w:abstractNumId="1">
    <w:nsid w:val="00000003"/>
    <w:multiLevelType w:val="multilevel"/>
    <w:tmpl w:val="00000003"/>
    <w:lvl w:ilvl="0" w:tentative="0">
      <w:start w:val="1"/>
      <w:numFmt w:val="decimal"/>
      <w:isLgl/>
      <w:lvlText w:val="%1"/>
      <w:lvlJc w:val="left"/>
      <w:pPr>
        <w:tabs>
          <w:tab w:val="left" w:pos="0"/>
        </w:tabs>
        <w:ind w:left="0" w:firstLine="0"/>
      </w:pPr>
      <w:rPr>
        <w:rFonts w:hint="eastAsia" w:eastAsia="宋体"/>
        <w:b/>
        <w:i w:val="0"/>
        <w:sz w:val="36"/>
        <w:szCs w:val="36"/>
      </w:rPr>
    </w:lvl>
    <w:lvl w:ilvl="1" w:tentative="0">
      <w:start w:val="1"/>
      <w:numFmt w:val="decimal"/>
      <w:lvlText w:val="%1.%2"/>
      <w:lvlJc w:val="left"/>
      <w:pPr>
        <w:tabs>
          <w:tab w:val="left" w:pos="426"/>
        </w:tabs>
        <w:ind w:left="426" w:firstLine="0"/>
      </w:pPr>
      <w:rPr>
        <w:rFonts w:hint="eastAsia" w:eastAsia="宋体"/>
        <w:b/>
        <w:sz w:val="32"/>
        <w:szCs w:val="32"/>
      </w:rPr>
    </w:lvl>
    <w:lvl w:ilvl="2" w:tentative="0">
      <w:start w:val="1"/>
      <w:numFmt w:val="decimal"/>
      <w:pStyle w:val="5"/>
      <w:lvlText w:val="%1.%2.%3"/>
      <w:lvlJc w:val="left"/>
      <w:pPr>
        <w:tabs>
          <w:tab w:val="left" w:pos="0"/>
        </w:tabs>
        <w:ind w:left="0" w:firstLine="0"/>
      </w:pPr>
      <w:rPr>
        <w:rFonts w:hint="eastAsia" w:eastAsia="宋体"/>
        <w:b/>
        <w:i w:val="0"/>
        <w:sz w:val="30"/>
        <w:szCs w:val="30"/>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399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2">
    <w:nsid w:val="00000017"/>
    <w:multiLevelType w:val="singleLevel"/>
    <w:tmpl w:val="00000017"/>
    <w:lvl w:ilvl="0" w:tentative="0">
      <w:start w:val="1"/>
      <w:numFmt w:val="decimal"/>
      <w:suff w:val="space"/>
      <w:lvlText w:val="%1."/>
      <w:lvlJc w:val="left"/>
    </w:lvl>
  </w:abstractNum>
  <w:abstractNum w:abstractNumId="3">
    <w:nsid w:val="255F6239"/>
    <w:multiLevelType w:val="multilevel"/>
    <w:tmpl w:val="255F6239"/>
    <w:lvl w:ilvl="0" w:tentative="0">
      <w:start w:val="1"/>
      <w:numFmt w:val="decimal"/>
      <w:lvlText w:val="%1"/>
      <w:lvlJc w:val="left"/>
      <w:pPr>
        <w:ind w:left="0" w:firstLine="0"/>
      </w:pPr>
      <w:rPr>
        <w:rFonts w:hint="eastAsia"/>
      </w:rPr>
    </w:lvl>
    <w:lvl w:ilvl="1" w:tentative="0">
      <w:start w:val="1"/>
      <w:numFmt w:val="decimal"/>
      <w:lvlText w:val="%1.%2"/>
      <w:lvlJc w:val="left"/>
      <w:pPr>
        <w:ind w:left="0" w:firstLine="0"/>
      </w:pPr>
      <w:rPr>
        <w:rFonts w:hint="eastAsia"/>
      </w:rPr>
    </w:lvl>
    <w:lvl w:ilvl="2" w:tentative="0">
      <w:start w:val="1"/>
      <w:numFmt w:val="decimal"/>
      <w:lvlText w:val="%1.%2.%3"/>
      <w:lvlJc w:val="left"/>
      <w:pPr>
        <w:ind w:left="0" w:firstLine="0"/>
      </w:pPr>
      <w:rPr>
        <w:rFonts w:hint="eastAsia"/>
      </w:rPr>
    </w:lvl>
    <w:lvl w:ilvl="3" w:tentative="0">
      <w:start w:val="1"/>
      <w:numFmt w:val="decimal"/>
      <w:lvlText w:val="%1.%2.%3.%4"/>
      <w:lvlJc w:val="left"/>
      <w:pPr>
        <w:ind w:left="0" w:firstLine="0"/>
      </w:pPr>
      <w:rPr>
        <w:rFonts w:hint="eastAsia"/>
      </w:rPr>
    </w:lvl>
    <w:lvl w:ilvl="4" w:tentative="0">
      <w:start w:val="1"/>
      <w:numFmt w:val="decimal"/>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4">
    <w:nsid w:val="309DCD57"/>
    <w:multiLevelType w:val="singleLevel"/>
    <w:tmpl w:val="309DCD57"/>
    <w:lvl w:ilvl="0" w:tentative="0">
      <w:start w:val="2"/>
      <w:numFmt w:val="chineseCounting"/>
      <w:suff w:val="nothing"/>
      <w:lvlText w:val="（%1）"/>
      <w:lvlJc w:val="left"/>
      <w:rPr>
        <w:rFonts w:hint="eastAsia"/>
      </w:rPr>
    </w:lvl>
  </w:abstractNum>
  <w:abstractNum w:abstractNumId="5">
    <w:nsid w:val="6F208CC4"/>
    <w:multiLevelType w:val="singleLevel"/>
    <w:tmpl w:val="6F208CC4"/>
    <w:lvl w:ilvl="0" w:tentative="0">
      <w:start w:val="3"/>
      <w:numFmt w:val="decimal"/>
      <w:suff w:val="space"/>
      <w:lvlText w:val="%1."/>
      <w:lvlJc w:val="left"/>
    </w:lvl>
  </w:abstractNum>
  <w:abstractNum w:abstractNumId="6">
    <w:nsid w:val="76D17989"/>
    <w:multiLevelType w:val="singleLevel"/>
    <w:tmpl w:val="76D17989"/>
    <w:lvl w:ilvl="0" w:tentative="0">
      <w:start w:val="1"/>
      <w:numFmt w:val="chineseCounting"/>
      <w:suff w:val="space"/>
      <w:lvlText w:val="第%1节"/>
      <w:lvlJc w:val="left"/>
      <w:rPr>
        <w:rFonts w:hint="eastAsia"/>
      </w:rPr>
    </w:lvl>
  </w:abstractNum>
  <w:num w:numId="1">
    <w:abstractNumId w:val="1"/>
  </w:num>
  <w:num w:numId="2">
    <w:abstractNumId w:val="4"/>
  </w:num>
  <w:num w:numId="3">
    <w:abstractNumId w:val="0"/>
  </w:num>
  <w:num w:numId="4">
    <w:abstractNumId w:val="6"/>
  </w:num>
  <w:num w:numId="5">
    <w:abstractNumId w:val="3"/>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7"/>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ZjYWIyN2U0NTUwNDRkZjQ1ZThhNzBjZTQ3OTE0NjIifQ=="/>
  </w:docVars>
  <w:rsids>
    <w:rsidRoot w:val="00CE58EF"/>
    <w:rsid w:val="00004D48"/>
    <w:rsid w:val="0001100D"/>
    <w:rsid w:val="00062A8B"/>
    <w:rsid w:val="00064694"/>
    <w:rsid w:val="0006783D"/>
    <w:rsid w:val="00073B63"/>
    <w:rsid w:val="00096133"/>
    <w:rsid w:val="000B172D"/>
    <w:rsid w:val="000C1B0A"/>
    <w:rsid w:val="000C4AE3"/>
    <w:rsid w:val="000F1506"/>
    <w:rsid w:val="0014738F"/>
    <w:rsid w:val="001C20AC"/>
    <w:rsid w:val="001C63F4"/>
    <w:rsid w:val="001D54B7"/>
    <w:rsid w:val="001D7BC8"/>
    <w:rsid w:val="001F479D"/>
    <w:rsid w:val="001F7A56"/>
    <w:rsid w:val="001F7E7A"/>
    <w:rsid w:val="00237F17"/>
    <w:rsid w:val="00267747"/>
    <w:rsid w:val="00272069"/>
    <w:rsid w:val="00283F97"/>
    <w:rsid w:val="00295F07"/>
    <w:rsid w:val="002B1825"/>
    <w:rsid w:val="002C3CE2"/>
    <w:rsid w:val="002E738A"/>
    <w:rsid w:val="00300E8B"/>
    <w:rsid w:val="00302345"/>
    <w:rsid w:val="003123CD"/>
    <w:rsid w:val="003226FE"/>
    <w:rsid w:val="00335784"/>
    <w:rsid w:val="0038330E"/>
    <w:rsid w:val="0039177E"/>
    <w:rsid w:val="00405D21"/>
    <w:rsid w:val="00446EFF"/>
    <w:rsid w:val="00495765"/>
    <w:rsid w:val="004B536E"/>
    <w:rsid w:val="004E56E6"/>
    <w:rsid w:val="004F1C64"/>
    <w:rsid w:val="005670A8"/>
    <w:rsid w:val="00596664"/>
    <w:rsid w:val="005C5A95"/>
    <w:rsid w:val="005E27A9"/>
    <w:rsid w:val="005E29DF"/>
    <w:rsid w:val="005E6512"/>
    <w:rsid w:val="0062600E"/>
    <w:rsid w:val="00627EA3"/>
    <w:rsid w:val="00673F85"/>
    <w:rsid w:val="006766EA"/>
    <w:rsid w:val="006A0A64"/>
    <w:rsid w:val="006C09C2"/>
    <w:rsid w:val="006F4892"/>
    <w:rsid w:val="00745783"/>
    <w:rsid w:val="007768A8"/>
    <w:rsid w:val="007A0E75"/>
    <w:rsid w:val="007E3208"/>
    <w:rsid w:val="007F42B9"/>
    <w:rsid w:val="00812D40"/>
    <w:rsid w:val="00825D65"/>
    <w:rsid w:val="0085404D"/>
    <w:rsid w:val="00877B68"/>
    <w:rsid w:val="00883460"/>
    <w:rsid w:val="00885CEF"/>
    <w:rsid w:val="008D2D9F"/>
    <w:rsid w:val="008E2769"/>
    <w:rsid w:val="00904E03"/>
    <w:rsid w:val="00904E98"/>
    <w:rsid w:val="009151A4"/>
    <w:rsid w:val="009346CC"/>
    <w:rsid w:val="00946F18"/>
    <w:rsid w:val="009577E5"/>
    <w:rsid w:val="009822DA"/>
    <w:rsid w:val="009C5414"/>
    <w:rsid w:val="009E3EEC"/>
    <w:rsid w:val="00A50655"/>
    <w:rsid w:val="00A514C8"/>
    <w:rsid w:val="00AC3C3C"/>
    <w:rsid w:val="00AD4300"/>
    <w:rsid w:val="00AE1107"/>
    <w:rsid w:val="00AE5724"/>
    <w:rsid w:val="00AF03D8"/>
    <w:rsid w:val="00B06E28"/>
    <w:rsid w:val="00B246AD"/>
    <w:rsid w:val="00B41135"/>
    <w:rsid w:val="00B65B86"/>
    <w:rsid w:val="00B77159"/>
    <w:rsid w:val="00B96F0C"/>
    <w:rsid w:val="00BB3E3D"/>
    <w:rsid w:val="00BE6A0E"/>
    <w:rsid w:val="00C06072"/>
    <w:rsid w:val="00C14312"/>
    <w:rsid w:val="00C35162"/>
    <w:rsid w:val="00C71796"/>
    <w:rsid w:val="00C975BE"/>
    <w:rsid w:val="00CA36D1"/>
    <w:rsid w:val="00CA381A"/>
    <w:rsid w:val="00CB0163"/>
    <w:rsid w:val="00CE58EF"/>
    <w:rsid w:val="00D20CC4"/>
    <w:rsid w:val="00D41306"/>
    <w:rsid w:val="00D458C8"/>
    <w:rsid w:val="00D6590E"/>
    <w:rsid w:val="00D81569"/>
    <w:rsid w:val="00DB0B19"/>
    <w:rsid w:val="00DD5875"/>
    <w:rsid w:val="00DE43EA"/>
    <w:rsid w:val="00DF7606"/>
    <w:rsid w:val="00E02284"/>
    <w:rsid w:val="00E41488"/>
    <w:rsid w:val="00E664D5"/>
    <w:rsid w:val="00E70935"/>
    <w:rsid w:val="00E86289"/>
    <w:rsid w:val="00E95DA5"/>
    <w:rsid w:val="00E97130"/>
    <w:rsid w:val="00ED44C4"/>
    <w:rsid w:val="00ED4FCE"/>
    <w:rsid w:val="00EE74DC"/>
    <w:rsid w:val="00EF6F87"/>
    <w:rsid w:val="00F122E7"/>
    <w:rsid w:val="00F555D8"/>
    <w:rsid w:val="00F905EC"/>
    <w:rsid w:val="00FF7258"/>
    <w:rsid w:val="01BF53D8"/>
    <w:rsid w:val="01D9415D"/>
    <w:rsid w:val="02864D8D"/>
    <w:rsid w:val="02C06881"/>
    <w:rsid w:val="02CE773E"/>
    <w:rsid w:val="02F70D3E"/>
    <w:rsid w:val="036B7036"/>
    <w:rsid w:val="03F90AE6"/>
    <w:rsid w:val="040B6A2E"/>
    <w:rsid w:val="046B3792"/>
    <w:rsid w:val="05185362"/>
    <w:rsid w:val="05B42F17"/>
    <w:rsid w:val="06053772"/>
    <w:rsid w:val="06213F95"/>
    <w:rsid w:val="06224324"/>
    <w:rsid w:val="06E10E38"/>
    <w:rsid w:val="07BB31AF"/>
    <w:rsid w:val="07E86EF1"/>
    <w:rsid w:val="081303C8"/>
    <w:rsid w:val="082B5E26"/>
    <w:rsid w:val="086C2F62"/>
    <w:rsid w:val="0886622F"/>
    <w:rsid w:val="08B60D54"/>
    <w:rsid w:val="09392071"/>
    <w:rsid w:val="093C1C13"/>
    <w:rsid w:val="0A0C3321"/>
    <w:rsid w:val="0A4E393A"/>
    <w:rsid w:val="0B871F56"/>
    <w:rsid w:val="0B9B3A70"/>
    <w:rsid w:val="0C236700"/>
    <w:rsid w:val="0CA27F6D"/>
    <w:rsid w:val="0CB103DB"/>
    <w:rsid w:val="0CD77964"/>
    <w:rsid w:val="0CFB767D"/>
    <w:rsid w:val="0D340B5E"/>
    <w:rsid w:val="0D3C216F"/>
    <w:rsid w:val="0D411534"/>
    <w:rsid w:val="0DEB5944"/>
    <w:rsid w:val="0E511A25"/>
    <w:rsid w:val="0F3F5F47"/>
    <w:rsid w:val="0F792B75"/>
    <w:rsid w:val="0FDC1DFC"/>
    <w:rsid w:val="106B4B1A"/>
    <w:rsid w:val="10A838D3"/>
    <w:rsid w:val="11D11587"/>
    <w:rsid w:val="12942106"/>
    <w:rsid w:val="12A54EC3"/>
    <w:rsid w:val="12AF5824"/>
    <w:rsid w:val="137F4B64"/>
    <w:rsid w:val="138A4A88"/>
    <w:rsid w:val="14986CC5"/>
    <w:rsid w:val="14D866AE"/>
    <w:rsid w:val="14FC21E4"/>
    <w:rsid w:val="150C112A"/>
    <w:rsid w:val="153C5B3D"/>
    <w:rsid w:val="157306F8"/>
    <w:rsid w:val="15B36D47"/>
    <w:rsid w:val="15DD3CFA"/>
    <w:rsid w:val="15E80BDE"/>
    <w:rsid w:val="16C71753"/>
    <w:rsid w:val="17A83C46"/>
    <w:rsid w:val="17C57205"/>
    <w:rsid w:val="17ED3774"/>
    <w:rsid w:val="18034A87"/>
    <w:rsid w:val="18607C7F"/>
    <w:rsid w:val="192A2C7D"/>
    <w:rsid w:val="19850175"/>
    <w:rsid w:val="19F474DA"/>
    <w:rsid w:val="1A516B2E"/>
    <w:rsid w:val="1A8B7A46"/>
    <w:rsid w:val="1B1A33C4"/>
    <w:rsid w:val="1B1A7868"/>
    <w:rsid w:val="1B7BF897"/>
    <w:rsid w:val="1BBC08B6"/>
    <w:rsid w:val="1BFE54F7"/>
    <w:rsid w:val="1D295F47"/>
    <w:rsid w:val="1E206F43"/>
    <w:rsid w:val="1E2C6CC1"/>
    <w:rsid w:val="1E6F1C79"/>
    <w:rsid w:val="1E885944"/>
    <w:rsid w:val="1EA47B9E"/>
    <w:rsid w:val="1EB73CF4"/>
    <w:rsid w:val="1FD04999"/>
    <w:rsid w:val="201E6DFF"/>
    <w:rsid w:val="20F14BC7"/>
    <w:rsid w:val="21824A35"/>
    <w:rsid w:val="2186076B"/>
    <w:rsid w:val="21CF315A"/>
    <w:rsid w:val="22D86971"/>
    <w:rsid w:val="22FB04BB"/>
    <w:rsid w:val="230535DD"/>
    <w:rsid w:val="2338088B"/>
    <w:rsid w:val="238EB71B"/>
    <w:rsid w:val="24383F19"/>
    <w:rsid w:val="248A22F4"/>
    <w:rsid w:val="24961D0D"/>
    <w:rsid w:val="250E4F12"/>
    <w:rsid w:val="2553123C"/>
    <w:rsid w:val="25AE653B"/>
    <w:rsid w:val="26802C75"/>
    <w:rsid w:val="26A821CC"/>
    <w:rsid w:val="26B07208"/>
    <w:rsid w:val="26E56F7C"/>
    <w:rsid w:val="288E003E"/>
    <w:rsid w:val="295F55E0"/>
    <w:rsid w:val="2976210D"/>
    <w:rsid w:val="2A1F4553"/>
    <w:rsid w:val="2B616660"/>
    <w:rsid w:val="2B7039CD"/>
    <w:rsid w:val="2BBD2DD0"/>
    <w:rsid w:val="2BEA0B91"/>
    <w:rsid w:val="2C912C6C"/>
    <w:rsid w:val="2DA3549B"/>
    <w:rsid w:val="2DEA0F4C"/>
    <w:rsid w:val="2E162C98"/>
    <w:rsid w:val="2E6B213A"/>
    <w:rsid w:val="2E802168"/>
    <w:rsid w:val="2EC41B6D"/>
    <w:rsid w:val="2EDA6C9B"/>
    <w:rsid w:val="2F88348F"/>
    <w:rsid w:val="30432446"/>
    <w:rsid w:val="304801F1"/>
    <w:rsid w:val="305807BF"/>
    <w:rsid w:val="309E3D0E"/>
    <w:rsid w:val="31085951"/>
    <w:rsid w:val="318807FF"/>
    <w:rsid w:val="32026C34"/>
    <w:rsid w:val="32655415"/>
    <w:rsid w:val="32F60D50"/>
    <w:rsid w:val="333107F5"/>
    <w:rsid w:val="34594B05"/>
    <w:rsid w:val="34BB6A1F"/>
    <w:rsid w:val="34BB756E"/>
    <w:rsid w:val="35800FE2"/>
    <w:rsid w:val="35C54669"/>
    <w:rsid w:val="35DC0BAA"/>
    <w:rsid w:val="3612487C"/>
    <w:rsid w:val="36366A26"/>
    <w:rsid w:val="36714388"/>
    <w:rsid w:val="36F624EF"/>
    <w:rsid w:val="370E1BD7"/>
    <w:rsid w:val="37217B5C"/>
    <w:rsid w:val="374C3B5A"/>
    <w:rsid w:val="37AE5168"/>
    <w:rsid w:val="3869757A"/>
    <w:rsid w:val="389F46CB"/>
    <w:rsid w:val="38A55FDC"/>
    <w:rsid w:val="38A94163"/>
    <w:rsid w:val="38AC3BE2"/>
    <w:rsid w:val="38FF7AFA"/>
    <w:rsid w:val="399D3ACE"/>
    <w:rsid w:val="39A77C45"/>
    <w:rsid w:val="39AC7709"/>
    <w:rsid w:val="39D36D71"/>
    <w:rsid w:val="3A0526AD"/>
    <w:rsid w:val="3A2A5154"/>
    <w:rsid w:val="3A852B49"/>
    <w:rsid w:val="3B0959A1"/>
    <w:rsid w:val="3B7D557D"/>
    <w:rsid w:val="3BCD6080"/>
    <w:rsid w:val="3BF53366"/>
    <w:rsid w:val="3C5938F5"/>
    <w:rsid w:val="3CC4690E"/>
    <w:rsid w:val="3D272DBF"/>
    <w:rsid w:val="3D2748D8"/>
    <w:rsid w:val="3E350391"/>
    <w:rsid w:val="3EBD3E9A"/>
    <w:rsid w:val="3ECE2E45"/>
    <w:rsid w:val="3EF44D59"/>
    <w:rsid w:val="3EFEB443"/>
    <w:rsid w:val="3F340649"/>
    <w:rsid w:val="3F36616F"/>
    <w:rsid w:val="3FBFA1C7"/>
    <w:rsid w:val="40537DE8"/>
    <w:rsid w:val="41055A99"/>
    <w:rsid w:val="41182AC4"/>
    <w:rsid w:val="41E713D8"/>
    <w:rsid w:val="42243853"/>
    <w:rsid w:val="42360234"/>
    <w:rsid w:val="42502EF2"/>
    <w:rsid w:val="42B65CDA"/>
    <w:rsid w:val="42D068DB"/>
    <w:rsid w:val="42E66EDA"/>
    <w:rsid w:val="430C3BC8"/>
    <w:rsid w:val="435B61A4"/>
    <w:rsid w:val="43604A52"/>
    <w:rsid w:val="43617533"/>
    <w:rsid w:val="438C0A54"/>
    <w:rsid w:val="4397504F"/>
    <w:rsid w:val="4420119C"/>
    <w:rsid w:val="443133A9"/>
    <w:rsid w:val="44FE52F4"/>
    <w:rsid w:val="457F0FBD"/>
    <w:rsid w:val="45C251E2"/>
    <w:rsid w:val="45C5024D"/>
    <w:rsid w:val="45CC3389"/>
    <w:rsid w:val="45DC061A"/>
    <w:rsid w:val="45EB3AC9"/>
    <w:rsid w:val="461C3CD9"/>
    <w:rsid w:val="462600D5"/>
    <w:rsid w:val="470F3FFB"/>
    <w:rsid w:val="47F941DE"/>
    <w:rsid w:val="48225279"/>
    <w:rsid w:val="48482A6F"/>
    <w:rsid w:val="489164BE"/>
    <w:rsid w:val="48C96795"/>
    <w:rsid w:val="48D938B3"/>
    <w:rsid w:val="490D36CB"/>
    <w:rsid w:val="497B64D3"/>
    <w:rsid w:val="49B0540B"/>
    <w:rsid w:val="4A0C644A"/>
    <w:rsid w:val="4A3E672A"/>
    <w:rsid w:val="4A946925"/>
    <w:rsid w:val="4AAB319D"/>
    <w:rsid w:val="4AAC1A16"/>
    <w:rsid w:val="4C602AB7"/>
    <w:rsid w:val="4C793DC8"/>
    <w:rsid w:val="4C877E72"/>
    <w:rsid w:val="4CD2560A"/>
    <w:rsid w:val="4CD45C64"/>
    <w:rsid w:val="4D1B26B0"/>
    <w:rsid w:val="4D6E716E"/>
    <w:rsid w:val="4D9C6330"/>
    <w:rsid w:val="4DB15DA8"/>
    <w:rsid w:val="4DCE1C69"/>
    <w:rsid w:val="4DF93492"/>
    <w:rsid w:val="4EC54E1A"/>
    <w:rsid w:val="4F9B2C4A"/>
    <w:rsid w:val="4FA169AF"/>
    <w:rsid w:val="4FF47FB6"/>
    <w:rsid w:val="506A7E93"/>
    <w:rsid w:val="50A017D0"/>
    <w:rsid w:val="50AE3EC8"/>
    <w:rsid w:val="50F626E2"/>
    <w:rsid w:val="51405126"/>
    <w:rsid w:val="51450494"/>
    <w:rsid w:val="51782617"/>
    <w:rsid w:val="51F25BDA"/>
    <w:rsid w:val="523522B6"/>
    <w:rsid w:val="52383B54"/>
    <w:rsid w:val="52AB4326"/>
    <w:rsid w:val="52C32E8E"/>
    <w:rsid w:val="52DF3D6C"/>
    <w:rsid w:val="52F11779"/>
    <w:rsid w:val="5343751D"/>
    <w:rsid w:val="53B26779"/>
    <w:rsid w:val="53C92B62"/>
    <w:rsid w:val="543F741C"/>
    <w:rsid w:val="544113F6"/>
    <w:rsid w:val="547846DC"/>
    <w:rsid w:val="55284354"/>
    <w:rsid w:val="55603AEE"/>
    <w:rsid w:val="55D43B94"/>
    <w:rsid w:val="55DA366B"/>
    <w:rsid w:val="56744F0C"/>
    <w:rsid w:val="56D24578"/>
    <w:rsid w:val="57006C1C"/>
    <w:rsid w:val="57062473"/>
    <w:rsid w:val="57307D28"/>
    <w:rsid w:val="581F7994"/>
    <w:rsid w:val="582F0DCC"/>
    <w:rsid w:val="58423EC4"/>
    <w:rsid w:val="589F492D"/>
    <w:rsid w:val="590A624B"/>
    <w:rsid w:val="594409E2"/>
    <w:rsid w:val="594F0101"/>
    <w:rsid w:val="59B60181"/>
    <w:rsid w:val="59F157B8"/>
    <w:rsid w:val="5A192C7D"/>
    <w:rsid w:val="5A4532B2"/>
    <w:rsid w:val="5A6E2809"/>
    <w:rsid w:val="5B871DD5"/>
    <w:rsid w:val="5BEB729E"/>
    <w:rsid w:val="5BEF0443"/>
    <w:rsid w:val="5C593045"/>
    <w:rsid w:val="5CA00C74"/>
    <w:rsid w:val="5CD5091E"/>
    <w:rsid w:val="5CEF6E5E"/>
    <w:rsid w:val="5D11008D"/>
    <w:rsid w:val="5D3752E5"/>
    <w:rsid w:val="5D5F28DD"/>
    <w:rsid w:val="5D76398A"/>
    <w:rsid w:val="5DD40BD5"/>
    <w:rsid w:val="5E282167"/>
    <w:rsid w:val="5E761FF9"/>
    <w:rsid w:val="5E824AD5"/>
    <w:rsid w:val="5EAC7224"/>
    <w:rsid w:val="5EC84DC3"/>
    <w:rsid w:val="5F4C2754"/>
    <w:rsid w:val="5F924B34"/>
    <w:rsid w:val="5FDC0215"/>
    <w:rsid w:val="607943CB"/>
    <w:rsid w:val="61016185"/>
    <w:rsid w:val="612C2AD6"/>
    <w:rsid w:val="615B4317"/>
    <w:rsid w:val="61684019"/>
    <w:rsid w:val="61AB4343"/>
    <w:rsid w:val="61FA57DB"/>
    <w:rsid w:val="6200602F"/>
    <w:rsid w:val="62173C1A"/>
    <w:rsid w:val="628801E0"/>
    <w:rsid w:val="62E23D94"/>
    <w:rsid w:val="632048BD"/>
    <w:rsid w:val="632B5B70"/>
    <w:rsid w:val="63DD144B"/>
    <w:rsid w:val="649B244D"/>
    <w:rsid w:val="655B0DB1"/>
    <w:rsid w:val="669E4B41"/>
    <w:rsid w:val="66B55864"/>
    <w:rsid w:val="66C45248"/>
    <w:rsid w:val="66F42C4E"/>
    <w:rsid w:val="66F56BED"/>
    <w:rsid w:val="66F916AD"/>
    <w:rsid w:val="6727621A"/>
    <w:rsid w:val="6760172C"/>
    <w:rsid w:val="678741BB"/>
    <w:rsid w:val="67C717AB"/>
    <w:rsid w:val="683C59C9"/>
    <w:rsid w:val="686773CC"/>
    <w:rsid w:val="68F6604A"/>
    <w:rsid w:val="691C20B4"/>
    <w:rsid w:val="69280FDA"/>
    <w:rsid w:val="69AA3358"/>
    <w:rsid w:val="69C04704"/>
    <w:rsid w:val="69E10169"/>
    <w:rsid w:val="6A266C5C"/>
    <w:rsid w:val="6AFC5C0F"/>
    <w:rsid w:val="6B0B2527"/>
    <w:rsid w:val="6B3E1D84"/>
    <w:rsid w:val="6B557F02"/>
    <w:rsid w:val="6B822BB4"/>
    <w:rsid w:val="6BA75B7B"/>
    <w:rsid w:val="6BAF072F"/>
    <w:rsid w:val="6BED111B"/>
    <w:rsid w:val="6BFB7139"/>
    <w:rsid w:val="6C17422B"/>
    <w:rsid w:val="6CC171BB"/>
    <w:rsid w:val="6CF46B9E"/>
    <w:rsid w:val="6D1630E3"/>
    <w:rsid w:val="6D5F5D4E"/>
    <w:rsid w:val="6DAA54AF"/>
    <w:rsid w:val="6E8144A5"/>
    <w:rsid w:val="6E8F0F07"/>
    <w:rsid w:val="6ED36C87"/>
    <w:rsid w:val="6EF52DAE"/>
    <w:rsid w:val="6EFB1938"/>
    <w:rsid w:val="6F001D74"/>
    <w:rsid w:val="7080327A"/>
    <w:rsid w:val="718A7AD1"/>
    <w:rsid w:val="71900E5F"/>
    <w:rsid w:val="71BB04F5"/>
    <w:rsid w:val="71D76F4C"/>
    <w:rsid w:val="7203730E"/>
    <w:rsid w:val="721D4F9D"/>
    <w:rsid w:val="72DA6836"/>
    <w:rsid w:val="7329132E"/>
    <w:rsid w:val="733028FA"/>
    <w:rsid w:val="737E55E8"/>
    <w:rsid w:val="73842C37"/>
    <w:rsid w:val="73E25166"/>
    <w:rsid w:val="74116287"/>
    <w:rsid w:val="74EC3348"/>
    <w:rsid w:val="752978B8"/>
    <w:rsid w:val="753170DA"/>
    <w:rsid w:val="7621477C"/>
    <w:rsid w:val="765443A3"/>
    <w:rsid w:val="76B111A6"/>
    <w:rsid w:val="772A6665"/>
    <w:rsid w:val="77A15B74"/>
    <w:rsid w:val="77BF4219"/>
    <w:rsid w:val="783A7396"/>
    <w:rsid w:val="787768D5"/>
    <w:rsid w:val="787B67CB"/>
    <w:rsid w:val="79020895"/>
    <w:rsid w:val="79142376"/>
    <w:rsid w:val="79206F6D"/>
    <w:rsid w:val="797668A3"/>
    <w:rsid w:val="798D01E3"/>
    <w:rsid w:val="7AC168B6"/>
    <w:rsid w:val="7BA440A0"/>
    <w:rsid w:val="7BE0527E"/>
    <w:rsid w:val="7BE39BF6"/>
    <w:rsid w:val="7BF859C7"/>
    <w:rsid w:val="7C21195B"/>
    <w:rsid w:val="7C5E2286"/>
    <w:rsid w:val="7C7F0E4F"/>
    <w:rsid w:val="7D32607E"/>
    <w:rsid w:val="7D9B4E14"/>
    <w:rsid w:val="7DE15CAB"/>
    <w:rsid w:val="7ECF1219"/>
    <w:rsid w:val="7F995383"/>
    <w:rsid w:val="7FDD9810"/>
    <w:rsid w:val="7FE82F9F"/>
    <w:rsid w:val="AF0BC981"/>
    <w:rsid w:val="BF7F9D7F"/>
    <w:rsid w:val="DDFF53C7"/>
    <w:rsid w:val="EF7FC437"/>
    <w:rsid w:val="FEFF6473"/>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0"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qFormat="1" w:uiPriority="99"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paragraph" w:styleId="3">
    <w:name w:val="heading 1"/>
    <w:basedOn w:val="1"/>
    <w:next w:val="1"/>
    <w:qFormat/>
    <w:uiPriority w:val="0"/>
    <w:pPr>
      <w:keepNext/>
      <w:keepLines/>
      <w:spacing w:before="340" w:after="330" w:line="576" w:lineRule="auto"/>
      <w:outlineLvl w:val="0"/>
    </w:pPr>
    <w:rPr>
      <w:b/>
      <w:kern w:val="44"/>
      <w:sz w:val="44"/>
    </w:rPr>
  </w:style>
  <w:style w:type="paragraph" w:styleId="4">
    <w:name w:val="heading 2"/>
    <w:basedOn w:val="1"/>
    <w:next w:val="1"/>
    <w:qFormat/>
    <w:uiPriority w:val="0"/>
    <w:pPr>
      <w:keepNext/>
      <w:keepLines/>
      <w:spacing w:before="260" w:after="260" w:line="413" w:lineRule="auto"/>
      <w:outlineLvl w:val="1"/>
    </w:pPr>
    <w:rPr>
      <w:rFonts w:ascii="Arial" w:hAnsi="Arial" w:eastAsia="黑体"/>
      <w:b/>
      <w:sz w:val="32"/>
    </w:rPr>
  </w:style>
  <w:style w:type="paragraph" w:styleId="5">
    <w:name w:val="heading 3"/>
    <w:basedOn w:val="1"/>
    <w:next w:val="1"/>
    <w:qFormat/>
    <w:uiPriority w:val="0"/>
    <w:pPr>
      <w:keepNext/>
      <w:keepLines/>
      <w:numPr>
        <w:ilvl w:val="2"/>
        <w:numId w:val="1"/>
      </w:numPr>
      <w:spacing w:before="260" w:after="260" w:line="416" w:lineRule="auto"/>
      <w:outlineLvl w:val="2"/>
    </w:pPr>
    <w:rPr>
      <w:b/>
      <w:bCs/>
      <w:sz w:val="32"/>
      <w:szCs w:val="32"/>
    </w:rPr>
  </w:style>
  <w:style w:type="paragraph" w:styleId="6">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22">
    <w:name w:val="Default Paragraph Font"/>
    <w:semiHidden/>
    <w:unhideWhenUsed/>
    <w:qFormat/>
    <w:uiPriority w:val="1"/>
  </w:style>
  <w:style w:type="table" w:default="1" w:styleId="20">
    <w:name w:val="Normal Table"/>
    <w:semiHidden/>
    <w:unhideWhenUsed/>
    <w:uiPriority w:val="99"/>
    <w:tblPr>
      <w:tblCellMar>
        <w:top w:w="0" w:type="dxa"/>
        <w:left w:w="108" w:type="dxa"/>
        <w:bottom w:w="0" w:type="dxa"/>
        <w:right w:w="108" w:type="dxa"/>
      </w:tblCellMar>
    </w:tblPr>
  </w:style>
  <w:style w:type="paragraph" w:customStyle="1" w:styleId="2">
    <w:name w:val="标4"/>
    <w:qFormat/>
    <w:uiPriority w:val="0"/>
    <w:pPr>
      <w:widowControl w:val="0"/>
      <w:spacing w:before="240" w:after="360" w:line="240" w:lineRule="exact"/>
      <w:ind w:firstLine="200" w:firstLineChars="200"/>
      <w:jc w:val="both"/>
      <w:outlineLvl w:val="3"/>
    </w:pPr>
    <w:rPr>
      <w:rFonts w:ascii="Arial" w:hAnsi="Arial" w:eastAsia="仿宋_GB2312" w:cs="Arial"/>
      <w:b/>
      <w:bCs/>
      <w:kern w:val="24"/>
      <w:sz w:val="28"/>
      <w:szCs w:val="22"/>
      <w:lang w:val="en-US" w:eastAsia="zh-CN" w:bidi="ar-SA"/>
    </w:rPr>
  </w:style>
  <w:style w:type="paragraph" w:styleId="7">
    <w:name w:val="Normal Indent"/>
    <w:basedOn w:val="1"/>
    <w:next w:val="1"/>
    <w:qFormat/>
    <w:uiPriority w:val="0"/>
    <w:pPr>
      <w:ind w:firstLine="420" w:firstLineChars="200"/>
    </w:pPr>
  </w:style>
  <w:style w:type="paragraph" w:styleId="8">
    <w:name w:val="Body Text"/>
    <w:basedOn w:val="1"/>
    <w:link w:val="28"/>
    <w:unhideWhenUsed/>
    <w:qFormat/>
    <w:uiPriority w:val="99"/>
    <w:pPr>
      <w:spacing w:after="120"/>
    </w:pPr>
  </w:style>
  <w:style w:type="paragraph" w:styleId="9">
    <w:name w:val="Body Text Indent"/>
    <w:basedOn w:val="1"/>
    <w:next w:val="1"/>
    <w:link w:val="30"/>
    <w:unhideWhenUsed/>
    <w:qFormat/>
    <w:uiPriority w:val="99"/>
    <w:pPr>
      <w:spacing w:after="120"/>
      <w:ind w:left="420" w:leftChars="200"/>
    </w:pPr>
  </w:style>
  <w:style w:type="paragraph" w:styleId="10">
    <w:name w:val="toc 3"/>
    <w:basedOn w:val="1"/>
    <w:next w:val="1"/>
    <w:qFormat/>
    <w:uiPriority w:val="39"/>
    <w:pPr>
      <w:widowControl/>
      <w:tabs>
        <w:tab w:val="right" w:leader="dot" w:pos="9061"/>
      </w:tabs>
      <w:spacing w:line="300" w:lineRule="exact"/>
      <w:ind w:left="442"/>
      <w:jc w:val="left"/>
    </w:pPr>
    <w:rPr>
      <w:rFonts w:ascii="仿宋_GB2312" w:eastAsia="仿宋_GB2312" w:cs="Times New Roman"/>
      <w:kern w:val="0"/>
      <w:sz w:val="24"/>
    </w:rPr>
  </w:style>
  <w:style w:type="paragraph" w:styleId="11">
    <w:name w:val="Plain Text"/>
    <w:basedOn w:val="1"/>
    <w:link w:val="27"/>
    <w:qFormat/>
    <w:uiPriority w:val="0"/>
    <w:rPr>
      <w:rFonts w:ascii="宋体" w:hAnsi="Courier New"/>
      <w:szCs w:val="20"/>
    </w:rPr>
  </w:style>
  <w:style w:type="paragraph" w:styleId="12">
    <w:name w:val="Balloon Text"/>
    <w:basedOn w:val="1"/>
    <w:link w:val="29"/>
    <w:qFormat/>
    <w:uiPriority w:val="0"/>
    <w:rPr>
      <w:sz w:val="18"/>
      <w:szCs w:val="18"/>
    </w:rPr>
  </w:style>
  <w:style w:type="paragraph" w:styleId="13">
    <w:name w:val="footer"/>
    <w:basedOn w:val="1"/>
    <w:link w:val="26"/>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4">
    <w:name w:val="header"/>
    <w:basedOn w:val="1"/>
    <w:link w:val="25"/>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5">
    <w:name w:val="toc 1"/>
    <w:basedOn w:val="1"/>
    <w:next w:val="1"/>
    <w:qFormat/>
    <w:uiPriority w:val="39"/>
    <w:pPr>
      <w:tabs>
        <w:tab w:val="left" w:pos="420"/>
        <w:tab w:val="right" w:leader="dot" w:pos="8943"/>
      </w:tabs>
      <w:spacing w:line="360" w:lineRule="auto"/>
    </w:pPr>
    <w:rPr>
      <w:rFonts w:ascii="宋体" w:hAnsi="宋体"/>
      <w:b/>
    </w:rPr>
  </w:style>
  <w:style w:type="paragraph" w:styleId="16">
    <w:name w:val="Body Text Indent 3"/>
    <w:basedOn w:val="1"/>
    <w:link w:val="32"/>
    <w:unhideWhenUsed/>
    <w:qFormat/>
    <w:uiPriority w:val="99"/>
    <w:pPr>
      <w:spacing w:after="120"/>
      <w:ind w:left="420" w:leftChars="200"/>
    </w:pPr>
    <w:rPr>
      <w:sz w:val="16"/>
      <w:szCs w:val="16"/>
    </w:rPr>
  </w:style>
  <w:style w:type="paragraph" w:styleId="17">
    <w:name w:val="Body Text 2"/>
    <w:basedOn w:val="1"/>
    <w:qFormat/>
    <w:uiPriority w:val="0"/>
    <w:pPr>
      <w:spacing w:after="120" w:line="480" w:lineRule="auto"/>
    </w:pPr>
  </w:style>
  <w:style w:type="paragraph" w:styleId="18">
    <w:name w:val="Normal (Web)"/>
    <w:basedOn w:val="1"/>
    <w:qFormat/>
    <w:uiPriority w:val="99"/>
    <w:pPr>
      <w:spacing w:before="100" w:beforeAutospacing="1" w:after="100" w:afterAutospacing="1" w:line="360" w:lineRule="auto"/>
    </w:pPr>
    <w:rPr>
      <w:rFonts w:ascii="Times New Roman" w:hAnsi="Times New Roman" w:cs="Times New Roman"/>
      <w:sz w:val="24"/>
    </w:rPr>
  </w:style>
  <w:style w:type="paragraph" w:styleId="19">
    <w:name w:val="Body Text First Indent 2"/>
    <w:basedOn w:val="9"/>
    <w:link w:val="31"/>
    <w:unhideWhenUsed/>
    <w:qFormat/>
    <w:uiPriority w:val="0"/>
    <w:pPr>
      <w:ind w:firstLine="420" w:firstLineChars="200"/>
    </w:pPr>
  </w:style>
  <w:style w:type="table" w:styleId="21">
    <w:name w:val="Table Grid"/>
    <w:basedOn w:val="20"/>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23">
    <w:name w:val="page number"/>
    <w:basedOn w:val="22"/>
    <w:qFormat/>
    <w:uiPriority w:val="0"/>
  </w:style>
  <w:style w:type="character" w:styleId="24">
    <w:name w:val="Hyperlink"/>
    <w:basedOn w:val="22"/>
    <w:unhideWhenUsed/>
    <w:qFormat/>
    <w:uiPriority w:val="99"/>
    <w:rPr>
      <w:color w:val="0000FF"/>
      <w:u w:val="single"/>
    </w:rPr>
  </w:style>
  <w:style w:type="character" w:customStyle="1" w:styleId="25">
    <w:name w:val="页眉 Char"/>
    <w:basedOn w:val="22"/>
    <w:link w:val="14"/>
    <w:semiHidden/>
    <w:qFormat/>
    <w:uiPriority w:val="99"/>
    <w:rPr>
      <w:sz w:val="18"/>
      <w:szCs w:val="18"/>
    </w:rPr>
  </w:style>
  <w:style w:type="character" w:customStyle="1" w:styleId="26">
    <w:name w:val="页脚 Char"/>
    <w:basedOn w:val="22"/>
    <w:link w:val="13"/>
    <w:qFormat/>
    <w:uiPriority w:val="99"/>
    <w:rPr>
      <w:sz w:val="18"/>
      <w:szCs w:val="18"/>
    </w:rPr>
  </w:style>
  <w:style w:type="character" w:customStyle="1" w:styleId="27">
    <w:name w:val="纯文本 Char"/>
    <w:basedOn w:val="22"/>
    <w:link w:val="11"/>
    <w:qFormat/>
    <w:uiPriority w:val="0"/>
    <w:rPr>
      <w:rFonts w:ascii="宋体" w:hAnsi="Courier New" w:eastAsia="宋体" w:cs="黑体"/>
      <w:szCs w:val="20"/>
    </w:rPr>
  </w:style>
  <w:style w:type="character" w:customStyle="1" w:styleId="28">
    <w:name w:val="正文文本 Char"/>
    <w:basedOn w:val="22"/>
    <w:link w:val="8"/>
    <w:qFormat/>
    <w:uiPriority w:val="99"/>
    <w:rPr>
      <w:rFonts w:ascii="Calibri" w:hAnsi="Calibri" w:eastAsia="宋体" w:cs="黑体"/>
      <w:szCs w:val="24"/>
    </w:rPr>
  </w:style>
  <w:style w:type="character" w:customStyle="1" w:styleId="29">
    <w:name w:val="批注框文本 Char"/>
    <w:basedOn w:val="22"/>
    <w:link w:val="12"/>
    <w:qFormat/>
    <w:uiPriority w:val="0"/>
    <w:rPr>
      <w:rFonts w:ascii="Calibri" w:hAnsi="Calibri" w:eastAsia="宋体" w:cs="黑体"/>
      <w:sz w:val="18"/>
      <w:szCs w:val="18"/>
    </w:rPr>
  </w:style>
  <w:style w:type="character" w:customStyle="1" w:styleId="30">
    <w:name w:val="正文文本缩进 Char"/>
    <w:basedOn w:val="22"/>
    <w:link w:val="9"/>
    <w:semiHidden/>
    <w:qFormat/>
    <w:uiPriority w:val="99"/>
    <w:rPr>
      <w:rFonts w:ascii="Calibri" w:hAnsi="Calibri" w:eastAsia="宋体" w:cs="黑体"/>
      <w:szCs w:val="24"/>
    </w:rPr>
  </w:style>
  <w:style w:type="character" w:customStyle="1" w:styleId="31">
    <w:name w:val="正文首行缩进 2 Char"/>
    <w:basedOn w:val="30"/>
    <w:link w:val="19"/>
    <w:semiHidden/>
    <w:qFormat/>
    <w:uiPriority w:val="99"/>
    <w:rPr>
      <w:rFonts w:ascii="Calibri" w:hAnsi="Calibri" w:eastAsia="宋体" w:cs="黑体"/>
      <w:szCs w:val="24"/>
    </w:rPr>
  </w:style>
  <w:style w:type="character" w:customStyle="1" w:styleId="32">
    <w:name w:val="正文文本缩进 3 Char"/>
    <w:basedOn w:val="22"/>
    <w:link w:val="16"/>
    <w:semiHidden/>
    <w:qFormat/>
    <w:uiPriority w:val="99"/>
    <w:rPr>
      <w:rFonts w:ascii="Calibri" w:hAnsi="Calibri" w:eastAsia="宋体" w:cs="黑体"/>
      <w:sz w:val="16"/>
      <w:szCs w:val="16"/>
    </w:rPr>
  </w:style>
  <w:style w:type="paragraph" w:customStyle="1" w:styleId="33">
    <w:name w:val="Table Paragraph"/>
    <w:basedOn w:val="1"/>
    <w:qFormat/>
    <w:uiPriority w:val="0"/>
    <w:pPr>
      <w:autoSpaceDE w:val="0"/>
      <w:autoSpaceDN w:val="0"/>
      <w:adjustRightInd w:val="0"/>
      <w:jc w:val="left"/>
    </w:pPr>
    <w:rPr>
      <w:rFonts w:ascii="Times New Roman" w:hAnsi="Times New Roman" w:cs="Times New Roman"/>
      <w:kern w:val="0"/>
      <w:sz w:val="24"/>
    </w:rPr>
  </w:style>
  <w:style w:type="paragraph" w:customStyle="1" w:styleId="34">
    <w:name w:val="正文样式"/>
    <w:qFormat/>
    <w:uiPriority w:val="0"/>
    <w:pPr>
      <w:widowControl w:val="0"/>
      <w:adjustRightInd w:val="0"/>
      <w:snapToGrid w:val="0"/>
      <w:spacing w:line="360" w:lineRule="auto"/>
      <w:ind w:firstLine="200" w:firstLineChars="200"/>
      <w:jc w:val="both"/>
    </w:pPr>
    <w:rPr>
      <w:rFonts w:ascii="Times New Roman" w:hAnsi="Times New Roman" w:eastAsia="宋体" w:cs="Times New Roman"/>
      <w:snapToGrid w:val="0"/>
      <w:sz w:val="24"/>
      <w:lang w:val="en-US" w:eastAsia="zh-CN" w:bidi="ar-SA"/>
    </w:rPr>
  </w:style>
  <w:style w:type="table" w:customStyle="1" w:styleId="35">
    <w:name w:val="Table Normal"/>
    <w:unhideWhenUsed/>
    <w:qFormat/>
    <w:uiPriority w:val="0"/>
    <w:tblPr>
      <w:tblCellMar>
        <w:top w:w="0" w:type="dxa"/>
        <w:left w:w="0" w:type="dxa"/>
        <w:bottom w:w="0" w:type="dxa"/>
        <w:right w:w="0" w:type="dxa"/>
      </w:tblCellMar>
    </w:tblPr>
  </w:style>
  <w:style w:type="character" w:customStyle="1" w:styleId="36">
    <w:name w:val="font101"/>
    <w:basedOn w:val="22"/>
    <w:qFormat/>
    <w:uiPriority w:val="0"/>
    <w:rPr>
      <w:rFonts w:hint="eastAsia" w:ascii="宋体" w:hAnsi="宋体" w:eastAsia="宋体" w:cs="宋体"/>
      <w:color w:val="000000"/>
      <w:sz w:val="22"/>
      <w:szCs w:val="22"/>
      <w:u w:val="none"/>
    </w:rPr>
  </w:style>
  <w:style w:type="character" w:customStyle="1" w:styleId="37">
    <w:name w:val="font121"/>
    <w:basedOn w:val="22"/>
    <w:qFormat/>
    <w:uiPriority w:val="0"/>
    <w:rPr>
      <w:rFonts w:hint="eastAsia" w:ascii="宋体" w:hAnsi="宋体" w:eastAsia="宋体" w:cs="宋体"/>
      <w:color w:val="000000"/>
      <w:sz w:val="22"/>
      <w:szCs w:val="22"/>
      <w:u w:val="none"/>
      <w:vertAlign w:val="superscript"/>
    </w:rPr>
  </w:style>
  <w:style w:type="character" w:customStyle="1" w:styleId="38">
    <w:name w:val="font81"/>
    <w:basedOn w:val="22"/>
    <w:qFormat/>
    <w:uiPriority w:val="0"/>
    <w:rPr>
      <w:rFonts w:hint="eastAsia" w:ascii="宋体" w:hAnsi="宋体" w:eastAsia="宋体" w:cs="宋体"/>
      <w:color w:val="000000"/>
      <w:sz w:val="22"/>
      <w:szCs w:val="22"/>
      <w:u w:val="none"/>
    </w:rPr>
  </w:style>
  <w:style w:type="paragraph" w:customStyle="1" w:styleId="39">
    <w:name w:val="Table Text"/>
    <w:basedOn w:val="1"/>
    <w:semiHidden/>
    <w:qFormat/>
    <w:uiPriority w:val="0"/>
    <w:rPr>
      <w:rFonts w:ascii="仿宋" w:hAnsi="仿宋" w:eastAsia="仿宋" w:cs="仿宋"/>
      <w:sz w:val="16"/>
      <w:szCs w:val="16"/>
      <w:lang w:eastAsia="en-US"/>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81</Pages>
  <Words>3162</Words>
  <Characters>3665</Characters>
  <Lines>315</Lines>
  <Paragraphs>88</Paragraphs>
  <TotalTime>1</TotalTime>
  <ScaleCrop>false</ScaleCrop>
  <LinksUpToDate>false</LinksUpToDate>
  <CharactersWithSpaces>3781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2023-04-21T15:30:00Z</dcterms:created>
  <dc:creator>Administrator</dc:creator>
  <cp:lastModifiedBy>嫻</cp:lastModifiedBy>
  <cp:lastPrinted>2024-06-25T18:30:00Z</cp:lastPrinted>
  <dcterms:modified xsi:type="dcterms:W3CDTF">2025-07-23T03:05:19Z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091FB89BBABD4C66BA74509AC148BB2E_13</vt:lpwstr>
  </property>
  <property fmtid="{D5CDD505-2E9C-101B-9397-08002B2CF9AE}" pid="4" name="KSOTemplateDocerSaveRecord">
    <vt:lpwstr>eyJoZGlkIjoiYWZjYWIyN2U0NTUwNDRkZjQ1ZThhNzBjZTQ3OTE0NjIiLCJ1c2VySWQiOiI1MjYzODc4MDYifQ==</vt:lpwstr>
  </property>
</Properties>
</file>