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7A204">
      <w:pPr>
        <w:pStyle w:val="3"/>
        <w:bidi w:val="0"/>
        <w:rPr>
          <w:rFonts w:hint="eastAsia" w:ascii="宋体" w:hAnsi="宋体" w:eastAsia="宋体" w:cs="宋体"/>
          <w:color w:val="auto"/>
          <w:sz w:val="32"/>
          <w:szCs w:val="32"/>
          <w:highlight w:val="none"/>
          <w:lang w:val="en-US" w:eastAsia="zh-CN"/>
        </w:rPr>
      </w:pPr>
    </w:p>
    <w:p w14:paraId="3223D075">
      <w:pPr>
        <w:keepNext w:val="0"/>
        <w:keepLines w:val="0"/>
        <w:pageBreakBefore w:val="0"/>
        <w:widowControl w:val="0"/>
        <w:tabs>
          <w:tab w:val="left" w:pos="0"/>
        </w:tabs>
        <w:kinsoku/>
        <w:wordWrap/>
        <w:overflowPunct/>
        <w:topLinePunct w:val="0"/>
        <w:autoSpaceDE/>
        <w:autoSpaceDN/>
        <w:bidi w:val="0"/>
        <w:adjustRightInd/>
        <w:snapToGrid/>
        <w:ind w:firstLine="0"/>
        <w:jc w:val="center"/>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政府采购项目</w:t>
      </w:r>
    </w:p>
    <w:p w14:paraId="368DCF02">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color w:val="auto"/>
          <w:highlight w:val="none"/>
          <w:lang w:val="en-US" w:eastAsia="zh-CN"/>
        </w:rPr>
      </w:pPr>
    </w:p>
    <w:p w14:paraId="17BC20AA">
      <w:pPr>
        <w:keepNext w:val="0"/>
        <w:keepLines w:val="0"/>
        <w:pageBreakBefore w:val="0"/>
        <w:widowControl w:val="0"/>
        <w:tabs>
          <w:tab w:val="left" w:pos="0"/>
        </w:tabs>
        <w:kinsoku/>
        <w:wordWrap/>
        <w:overflowPunct/>
        <w:topLinePunct w:val="0"/>
        <w:autoSpaceDE/>
        <w:autoSpaceDN/>
        <w:bidi w:val="0"/>
        <w:adjustRightInd/>
        <w:snapToGrid/>
        <w:ind w:firstLine="0"/>
        <w:jc w:val="center"/>
        <w:textAlignment w:val="auto"/>
        <w:outlineLvl w:val="9"/>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南明区人民医院采购2025年医责险（三次）</w:t>
      </w:r>
    </w:p>
    <w:p w14:paraId="5C8314A4">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default"/>
          <w:color w:val="auto"/>
          <w:highlight w:val="none"/>
          <w:lang w:val="en-US" w:eastAsia="zh-CN"/>
        </w:rPr>
      </w:pPr>
      <w:r>
        <w:rPr>
          <w:rFonts w:hint="eastAsia"/>
          <w:color w:val="auto"/>
          <w:highlight w:val="none"/>
          <w:lang w:val="en-US" w:eastAsia="zh-CN"/>
        </w:rPr>
        <w:t xml:space="preserve"> </w:t>
      </w:r>
    </w:p>
    <w:p w14:paraId="67732976">
      <w:pPr>
        <w:pageBreakBefore w:val="0"/>
        <w:widowControl w:val="0"/>
        <w:kinsoku/>
        <w:wordWrap/>
        <w:overflowPunct/>
        <w:topLinePunct w:val="0"/>
        <w:autoSpaceDE/>
        <w:autoSpaceDN/>
        <w:bidi w:val="0"/>
        <w:adjustRightInd/>
        <w:snapToGrid/>
        <w:spacing w:before="280" w:after="280"/>
        <w:ind w:firstLine="3584" w:firstLineChars="128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采购需求公示信息</w:t>
      </w:r>
    </w:p>
    <w:p w14:paraId="11CC06B2">
      <w:pPr>
        <w:pageBreakBefore w:val="0"/>
        <w:widowControl w:val="0"/>
        <w:kinsoku/>
        <w:wordWrap/>
        <w:overflowPunct/>
        <w:topLinePunct w:val="0"/>
        <w:autoSpaceDE/>
        <w:autoSpaceDN/>
        <w:bidi w:val="0"/>
        <w:adjustRightInd/>
        <w:snapToGrid/>
        <w:spacing w:before="280" w:after="280"/>
        <w:ind w:firstLine="3584" w:firstLineChars="128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（2025年8月）</w:t>
      </w:r>
    </w:p>
    <w:p w14:paraId="0A8C6FBA">
      <w:pPr>
        <w:spacing w:before="280" w:after="280"/>
        <w:ind w:firstLine="3304" w:firstLineChars="1180"/>
        <w:jc w:val="both"/>
        <w:rPr>
          <w:rFonts w:hint="default" w:ascii="宋体" w:hAnsi="宋体" w:eastAsia="宋体" w:cs="宋体"/>
          <w:color w:val="auto"/>
          <w:sz w:val="28"/>
          <w:szCs w:val="28"/>
          <w:highlight w:val="none"/>
          <w:lang w:val="en-US" w:eastAsia="zh-CN"/>
        </w:rPr>
      </w:pPr>
    </w:p>
    <w:p w14:paraId="66EC132E">
      <w:pPr>
        <w:spacing w:before="280" w:after="280"/>
        <w:ind w:firstLine="3304" w:firstLineChars="1180"/>
        <w:jc w:val="both"/>
        <w:rPr>
          <w:rFonts w:hint="default" w:ascii="宋体" w:hAnsi="宋体" w:eastAsia="宋体" w:cs="宋体"/>
          <w:color w:val="auto"/>
          <w:sz w:val="28"/>
          <w:szCs w:val="28"/>
          <w:highlight w:val="none"/>
          <w:lang w:val="en-US" w:eastAsia="zh-CN"/>
        </w:rPr>
      </w:pPr>
    </w:p>
    <w:p w14:paraId="3EA566CA">
      <w:pPr>
        <w:spacing w:before="280" w:after="280"/>
        <w:ind w:firstLine="3304" w:firstLineChars="1180"/>
        <w:jc w:val="both"/>
        <w:rPr>
          <w:rFonts w:hint="default" w:ascii="宋体" w:hAnsi="宋体" w:eastAsia="宋体" w:cs="宋体"/>
          <w:color w:val="auto"/>
          <w:sz w:val="28"/>
          <w:szCs w:val="28"/>
          <w:highlight w:val="none"/>
          <w:lang w:val="en-US" w:eastAsia="zh-CN"/>
        </w:rPr>
      </w:pPr>
    </w:p>
    <w:p w14:paraId="3CF1C808">
      <w:pPr>
        <w:spacing w:before="280" w:after="280"/>
        <w:ind w:firstLine="3304" w:firstLineChars="1180"/>
        <w:jc w:val="both"/>
        <w:rPr>
          <w:rFonts w:hint="default" w:ascii="宋体" w:hAnsi="宋体" w:eastAsia="宋体" w:cs="宋体"/>
          <w:color w:val="auto"/>
          <w:sz w:val="28"/>
          <w:szCs w:val="28"/>
          <w:highlight w:val="none"/>
          <w:lang w:val="en-US" w:eastAsia="zh-CN"/>
        </w:rPr>
      </w:pPr>
    </w:p>
    <w:tbl>
      <w:tblPr>
        <w:tblStyle w:val="11"/>
        <w:tblW w:w="0" w:type="auto"/>
        <w:jc w:val="center"/>
        <w:tblLayout w:type="fixed"/>
        <w:tblCellMar>
          <w:top w:w="0" w:type="dxa"/>
          <w:left w:w="108" w:type="dxa"/>
          <w:bottom w:w="0" w:type="dxa"/>
          <w:right w:w="108" w:type="dxa"/>
        </w:tblCellMar>
      </w:tblPr>
      <w:tblGrid>
        <w:gridCol w:w="1557"/>
        <w:gridCol w:w="2340"/>
        <w:gridCol w:w="1502"/>
        <w:gridCol w:w="1797"/>
      </w:tblGrid>
      <w:tr w14:paraId="2E7BFB6A">
        <w:tblPrEx>
          <w:tblCellMar>
            <w:top w:w="0" w:type="dxa"/>
            <w:left w:w="108" w:type="dxa"/>
            <w:bottom w:w="0" w:type="dxa"/>
            <w:right w:w="108" w:type="dxa"/>
          </w:tblCellMar>
        </w:tblPrEx>
        <w:trPr>
          <w:trHeight w:val="441" w:hRule="atLeast"/>
          <w:jc w:val="center"/>
        </w:trPr>
        <w:tc>
          <w:tcPr>
            <w:tcW w:w="1557" w:type="dxa"/>
            <w:noWrap w:val="0"/>
            <w:vAlign w:val="bottom"/>
          </w:tcPr>
          <w:p w14:paraId="5FA4EBE6">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639" w:type="dxa"/>
            <w:gridSpan w:val="3"/>
            <w:tcBorders>
              <w:top w:val="single" w:color="000000" w:sz="4" w:space="0"/>
              <w:bottom w:val="single" w:color="000000" w:sz="4" w:space="0"/>
            </w:tcBorders>
            <w:noWrap w:val="0"/>
            <w:vAlign w:val="center"/>
          </w:tcPr>
          <w:p w14:paraId="38423FDC">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南明区人民医院采购2025年医责险</w:t>
            </w:r>
            <w:r>
              <w:rPr>
                <w:rFonts w:hint="eastAsia" w:ascii="宋体" w:hAnsi="宋体" w:eastAsia="宋体" w:cs="宋体"/>
                <w:color w:val="auto"/>
                <w:highlight w:val="none"/>
                <w:lang w:val="en-US" w:eastAsia="zh-CN"/>
              </w:rPr>
              <w:t>（三次）</w:t>
            </w:r>
          </w:p>
        </w:tc>
      </w:tr>
      <w:tr w14:paraId="60022ABE">
        <w:tblPrEx>
          <w:tblCellMar>
            <w:top w:w="0" w:type="dxa"/>
            <w:left w:w="108" w:type="dxa"/>
            <w:bottom w:w="0" w:type="dxa"/>
            <w:right w:w="108" w:type="dxa"/>
          </w:tblCellMar>
        </w:tblPrEx>
        <w:trPr>
          <w:trHeight w:val="447" w:hRule="atLeast"/>
          <w:jc w:val="center"/>
        </w:trPr>
        <w:tc>
          <w:tcPr>
            <w:tcW w:w="1557" w:type="dxa"/>
            <w:noWrap w:val="0"/>
            <w:vAlign w:val="bottom"/>
          </w:tcPr>
          <w:p w14:paraId="1AB9C488">
            <w:pPr>
              <w:spacing w:line="240" w:lineRule="auto"/>
              <w:ind w:firstLine="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5639" w:type="dxa"/>
            <w:gridSpan w:val="3"/>
            <w:tcBorders>
              <w:top w:val="single" w:color="000000" w:sz="4" w:space="0"/>
              <w:bottom w:val="single" w:color="000000" w:sz="4" w:space="0"/>
            </w:tcBorders>
            <w:noWrap w:val="0"/>
            <w:vAlign w:val="center"/>
          </w:tcPr>
          <w:p w14:paraId="532BC905">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XSSCG-2025-299（三次）</w:t>
            </w:r>
          </w:p>
        </w:tc>
      </w:tr>
      <w:tr w14:paraId="388D707F">
        <w:tblPrEx>
          <w:tblCellMar>
            <w:top w:w="0" w:type="dxa"/>
            <w:left w:w="108" w:type="dxa"/>
            <w:bottom w:w="0" w:type="dxa"/>
            <w:right w:w="108" w:type="dxa"/>
          </w:tblCellMar>
        </w:tblPrEx>
        <w:trPr>
          <w:trHeight w:val="471" w:hRule="atLeast"/>
          <w:jc w:val="center"/>
        </w:trPr>
        <w:tc>
          <w:tcPr>
            <w:tcW w:w="1557" w:type="dxa"/>
            <w:noWrap w:val="0"/>
            <w:vAlign w:val="bottom"/>
          </w:tcPr>
          <w:p w14:paraId="0A61EF67">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采 购 人：</w:t>
            </w:r>
          </w:p>
        </w:tc>
        <w:tc>
          <w:tcPr>
            <w:tcW w:w="5639" w:type="dxa"/>
            <w:gridSpan w:val="3"/>
            <w:tcBorders>
              <w:top w:val="single" w:color="000000" w:sz="4" w:space="0"/>
              <w:bottom w:val="single" w:color="000000" w:sz="4" w:space="0"/>
            </w:tcBorders>
            <w:noWrap w:val="0"/>
            <w:vAlign w:val="bottom"/>
          </w:tcPr>
          <w:p w14:paraId="7BA3BBDD">
            <w:pPr>
              <w:spacing w:line="240" w:lineRule="auto"/>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贵阳市南明区人民医院</w:t>
            </w:r>
          </w:p>
        </w:tc>
      </w:tr>
      <w:tr w14:paraId="58139A68">
        <w:tblPrEx>
          <w:tblCellMar>
            <w:top w:w="0" w:type="dxa"/>
            <w:left w:w="108" w:type="dxa"/>
            <w:bottom w:w="0" w:type="dxa"/>
            <w:right w:w="108" w:type="dxa"/>
          </w:tblCellMar>
        </w:tblPrEx>
        <w:trPr>
          <w:trHeight w:val="391" w:hRule="atLeast"/>
          <w:jc w:val="center"/>
        </w:trPr>
        <w:tc>
          <w:tcPr>
            <w:tcW w:w="1557" w:type="dxa"/>
            <w:noWrap w:val="0"/>
            <w:vAlign w:val="bottom"/>
          </w:tcPr>
          <w:p w14:paraId="4EB45097">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w:t>
            </w:r>
          </w:p>
        </w:tc>
        <w:tc>
          <w:tcPr>
            <w:tcW w:w="5639" w:type="dxa"/>
            <w:gridSpan w:val="3"/>
            <w:tcBorders>
              <w:top w:val="single" w:color="000000" w:sz="4" w:space="0"/>
              <w:bottom w:val="single" w:color="000000" w:sz="4" w:space="0"/>
            </w:tcBorders>
            <w:noWrap w:val="0"/>
            <w:vAlign w:val="bottom"/>
          </w:tcPr>
          <w:p w14:paraId="7820D6C9">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贵阳市南明区新华路182号</w:t>
            </w:r>
          </w:p>
        </w:tc>
      </w:tr>
      <w:tr w14:paraId="6B0F2F9E">
        <w:tblPrEx>
          <w:tblCellMar>
            <w:top w:w="0" w:type="dxa"/>
            <w:left w:w="108" w:type="dxa"/>
            <w:bottom w:w="0" w:type="dxa"/>
            <w:right w:w="108" w:type="dxa"/>
          </w:tblCellMar>
        </w:tblPrEx>
        <w:trPr>
          <w:trHeight w:val="456" w:hRule="atLeast"/>
          <w:jc w:val="center"/>
        </w:trPr>
        <w:tc>
          <w:tcPr>
            <w:tcW w:w="1557" w:type="dxa"/>
            <w:noWrap w:val="0"/>
            <w:vAlign w:val="bottom"/>
          </w:tcPr>
          <w:p w14:paraId="06FA6778">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2340" w:type="dxa"/>
            <w:tcBorders>
              <w:top w:val="single" w:color="000000" w:sz="4" w:space="0"/>
              <w:bottom w:val="single" w:color="000000" w:sz="4" w:space="0"/>
            </w:tcBorders>
            <w:noWrap w:val="0"/>
            <w:vAlign w:val="center"/>
          </w:tcPr>
          <w:p w14:paraId="33AFE171">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吴老师</w:t>
            </w:r>
          </w:p>
        </w:tc>
        <w:tc>
          <w:tcPr>
            <w:tcW w:w="1502" w:type="dxa"/>
            <w:tcBorders>
              <w:top w:val="single" w:color="000000" w:sz="4" w:space="0"/>
            </w:tcBorders>
            <w:noWrap w:val="0"/>
            <w:vAlign w:val="center"/>
          </w:tcPr>
          <w:p w14:paraId="762F9A42">
            <w:pPr>
              <w:spacing w:line="24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797" w:type="dxa"/>
            <w:tcBorders>
              <w:top w:val="single" w:color="000000" w:sz="4" w:space="0"/>
              <w:bottom w:val="single" w:color="000000" w:sz="4" w:space="0"/>
            </w:tcBorders>
            <w:noWrap w:val="0"/>
            <w:vAlign w:val="center"/>
          </w:tcPr>
          <w:p w14:paraId="4BD747F9">
            <w:pPr>
              <w:spacing w:line="240" w:lineRule="auto"/>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0851-85576676</w:t>
            </w:r>
          </w:p>
        </w:tc>
      </w:tr>
      <w:tr w14:paraId="35A2DEE5">
        <w:tblPrEx>
          <w:tblCellMar>
            <w:top w:w="0" w:type="dxa"/>
            <w:left w:w="108" w:type="dxa"/>
            <w:bottom w:w="0" w:type="dxa"/>
            <w:right w:w="108" w:type="dxa"/>
          </w:tblCellMar>
        </w:tblPrEx>
        <w:trPr>
          <w:trHeight w:val="451" w:hRule="atLeast"/>
          <w:jc w:val="center"/>
        </w:trPr>
        <w:tc>
          <w:tcPr>
            <w:tcW w:w="1557" w:type="dxa"/>
            <w:noWrap w:val="0"/>
            <w:vAlign w:val="bottom"/>
          </w:tcPr>
          <w:p w14:paraId="4CB9D540">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代理机构：</w:t>
            </w:r>
          </w:p>
        </w:tc>
        <w:tc>
          <w:tcPr>
            <w:tcW w:w="5639" w:type="dxa"/>
            <w:gridSpan w:val="3"/>
            <w:tcBorders>
              <w:bottom w:val="single" w:color="000000" w:sz="4" w:space="0"/>
            </w:tcBorders>
            <w:noWrap w:val="0"/>
            <w:vAlign w:val="center"/>
          </w:tcPr>
          <w:p w14:paraId="50193164">
            <w:pPr>
              <w:spacing w:line="240" w:lineRule="auto"/>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贵州新山水建设咨询（集团）有限公司</w:t>
            </w:r>
          </w:p>
        </w:tc>
      </w:tr>
      <w:tr w14:paraId="7F020D07">
        <w:tblPrEx>
          <w:tblCellMar>
            <w:top w:w="0" w:type="dxa"/>
            <w:left w:w="108" w:type="dxa"/>
            <w:bottom w:w="0" w:type="dxa"/>
            <w:right w:w="108" w:type="dxa"/>
          </w:tblCellMar>
        </w:tblPrEx>
        <w:trPr>
          <w:trHeight w:val="411" w:hRule="atLeast"/>
          <w:jc w:val="center"/>
        </w:trPr>
        <w:tc>
          <w:tcPr>
            <w:tcW w:w="1557" w:type="dxa"/>
            <w:noWrap w:val="0"/>
            <w:vAlign w:val="bottom"/>
          </w:tcPr>
          <w:p w14:paraId="3516EBF3">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w:t>
            </w:r>
          </w:p>
        </w:tc>
        <w:tc>
          <w:tcPr>
            <w:tcW w:w="5639" w:type="dxa"/>
            <w:gridSpan w:val="3"/>
            <w:tcBorders>
              <w:top w:val="single" w:color="000000" w:sz="4" w:space="0"/>
              <w:bottom w:val="single" w:color="000000" w:sz="4" w:space="0"/>
            </w:tcBorders>
            <w:noWrap w:val="0"/>
            <w:vAlign w:val="center"/>
          </w:tcPr>
          <w:p w14:paraId="1D10247E">
            <w:pPr>
              <w:spacing w:line="240" w:lineRule="auto"/>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贵阳市观山湖区麒龙贵州塔31楼</w:t>
            </w:r>
          </w:p>
        </w:tc>
      </w:tr>
      <w:tr w14:paraId="2EDB7AF9">
        <w:tblPrEx>
          <w:tblCellMar>
            <w:top w:w="0" w:type="dxa"/>
            <w:left w:w="108" w:type="dxa"/>
            <w:bottom w:w="0" w:type="dxa"/>
            <w:right w:w="108" w:type="dxa"/>
          </w:tblCellMar>
        </w:tblPrEx>
        <w:trPr>
          <w:trHeight w:val="511" w:hRule="atLeast"/>
          <w:jc w:val="center"/>
        </w:trPr>
        <w:tc>
          <w:tcPr>
            <w:tcW w:w="1557" w:type="dxa"/>
            <w:noWrap w:val="0"/>
            <w:vAlign w:val="bottom"/>
          </w:tcPr>
          <w:p w14:paraId="52E73F60">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2340" w:type="dxa"/>
            <w:tcBorders>
              <w:top w:val="single" w:color="000000" w:sz="4" w:space="0"/>
              <w:bottom w:val="single" w:color="000000" w:sz="4" w:space="0"/>
            </w:tcBorders>
            <w:noWrap w:val="0"/>
            <w:vAlign w:val="center"/>
          </w:tcPr>
          <w:p w14:paraId="3BD37837">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马慧、向秀、邹启飞</w:t>
            </w:r>
          </w:p>
        </w:tc>
        <w:tc>
          <w:tcPr>
            <w:tcW w:w="1502" w:type="dxa"/>
            <w:tcBorders>
              <w:top w:val="single" w:color="000000" w:sz="4" w:space="0"/>
            </w:tcBorders>
            <w:noWrap w:val="0"/>
            <w:vAlign w:val="center"/>
          </w:tcPr>
          <w:p w14:paraId="4ECF0A94">
            <w:pPr>
              <w:spacing w:line="240" w:lineRule="auto"/>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p>
        </w:tc>
        <w:tc>
          <w:tcPr>
            <w:tcW w:w="1797" w:type="dxa"/>
            <w:tcBorders>
              <w:top w:val="single" w:color="000000" w:sz="4" w:space="0"/>
              <w:bottom w:val="single" w:color="000000" w:sz="4" w:space="0"/>
            </w:tcBorders>
            <w:noWrap w:val="0"/>
            <w:vAlign w:val="center"/>
          </w:tcPr>
          <w:p w14:paraId="67FBEBC2">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0851-84819957</w:t>
            </w:r>
          </w:p>
        </w:tc>
      </w:tr>
    </w:tbl>
    <w:p w14:paraId="438634AE">
      <w:pPr>
        <w:spacing w:before="280" w:after="280"/>
        <w:ind w:firstLine="3304" w:firstLineChars="1180"/>
        <w:jc w:val="both"/>
        <w:rPr>
          <w:rFonts w:hint="eastAsia" w:ascii="宋体" w:hAnsi="宋体" w:eastAsia="宋体" w:cs="宋体"/>
          <w:color w:val="auto"/>
          <w:sz w:val="28"/>
          <w:szCs w:val="28"/>
          <w:highlight w:val="none"/>
        </w:rPr>
      </w:pPr>
    </w:p>
    <w:p w14:paraId="205BD1D3">
      <w:r>
        <w:br w:type="page"/>
      </w:r>
    </w:p>
    <w:p w14:paraId="2AF2DD88">
      <w:pPr>
        <w:pStyle w:val="3"/>
        <w:bidi w:val="0"/>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项目采购需求</w:t>
      </w:r>
    </w:p>
    <w:p w14:paraId="3661415D">
      <w:pPr>
        <w:pStyle w:val="4"/>
        <w:bidi w:val="0"/>
        <w:jc w:val="left"/>
        <w:rPr>
          <w:rFonts w:hint="eastAsia"/>
          <w:color w:val="auto"/>
          <w:highlight w:val="none"/>
          <w:lang w:val="en-US" w:eastAsia="zh-CN"/>
        </w:rPr>
      </w:pPr>
      <w:r>
        <w:rPr>
          <w:rFonts w:hint="eastAsia"/>
          <w:color w:val="auto"/>
          <w:highlight w:val="none"/>
          <w:lang w:val="en-US" w:eastAsia="zh-CN"/>
        </w:rPr>
        <w:t>一、项目概述</w:t>
      </w:r>
    </w:p>
    <w:p w14:paraId="145BA240">
      <w:pPr>
        <w:pStyle w:val="10"/>
        <w:rPr>
          <w:rFonts w:hint="default" w:ascii="宋体" w:hAnsi="宋体" w:eastAsia="宋体" w:cs="宋体"/>
          <w:color w:val="auto"/>
          <w:sz w:val="24"/>
          <w:szCs w:val="24"/>
          <w:highlight w:val="none"/>
          <w:lang w:val="en-US" w:eastAsia="zh-CN"/>
        </w:rPr>
      </w:pPr>
      <w:r>
        <w:rPr>
          <w:rFonts w:hint="eastAsia" w:ascii="宋体" w:hAnsi="Times New Roman" w:eastAsia="宋体" w:cs="宋体"/>
          <w:color w:val="auto"/>
          <w:kern w:val="1"/>
          <w:sz w:val="24"/>
          <w:szCs w:val="21"/>
          <w:highlight w:val="none"/>
          <w:lang w:val="en-US" w:eastAsia="zh-CN" w:bidi="ar-SA"/>
        </w:rPr>
        <w:t>采购2025年医责险一年,具体内容详见技术要求。本项目所属行业为：</w:t>
      </w:r>
      <w:r>
        <w:rPr>
          <w:rFonts w:ascii="宋体" w:hAnsi="宋体" w:eastAsia="宋体" w:cs="宋体"/>
          <w:color w:val="auto"/>
          <w:sz w:val="24"/>
          <w:szCs w:val="24"/>
          <w:highlight w:val="none"/>
        </w:rPr>
        <w:t>其他未列明行业。</w:t>
      </w:r>
    </w:p>
    <w:p w14:paraId="07B0C271">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二、项目执行的相关标准</w:t>
      </w:r>
    </w:p>
    <w:p w14:paraId="0A88C2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符合国家与地方相关法律法规及技术规范、编制标准。如果颁发新的技术标准，则按新标准规定执行。</w:t>
      </w:r>
    </w:p>
    <w:p w14:paraId="2F642600">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三、基本情况</w:t>
      </w:r>
    </w:p>
    <w:p w14:paraId="16E74D0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项目名称：南明区人民医院采购2025年医责险</w:t>
      </w:r>
    </w:p>
    <w:p w14:paraId="2ADBFFB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项目编号：XSSCG-2025-299</w:t>
      </w:r>
      <w:r>
        <w:rPr>
          <w:rFonts w:hint="eastAsia" w:ascii="宋体" w:eastAsia="宋体" w:cs="宋体"/>
          <w:color w:val="auto"/>
          <w:kern w:val="1"/>
          <w:sz w:val="24"/>
          <w:szCs w:val="21"/>
          <w:highlight w:val="none"/>
          <w:lang w:val="en-US" w:eastAsia="zh-CN" w:bidi="ar-SA"/>
        </w:rPr>
        <w:t>（三次）</w:t>
      </w:r>
    </w:p>
    <w:p w14:paraId="34F26A0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本项目是否专门面向中小企业采购：否。</w:t>
      </w:r>
    </w:p>
    <w:p w14:paraId="3611BD9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行业划分：</w:t>
      </w:r>
      <w:r>
        <w:rPr>
          <w:rFonts w:ascii="宋体" w:hAnsi="宋体" w:eastAsia="宋体" w:cs="宋体"/>
          <w:color w:val="auto"/>
          <w:sz w:val="24"/>
          <w:szCs w:val="24"/>
          <w:highlight w:val="none"/>
        </w:rPr>
        <w:t>其他未列明行业</w:t>
      </w:r>
      <w:r>
        <w:rPr>
          <w:rFonts w:hint="eastAsia" w:ascii="宋体" w:hAnsi="Times New Roman" w:eastAsia="宋体" w:cs="宋体"/>
          <w:color w:val="auto"/>
          <w:kern w:val="1"/>
          <w:sz w:val="24"/>
          <w:szCs w:val="21"/>
          <w:highlight w:val="none"/>
          <w:lang w:val="en-US" w:eastAsia="zh-CN" w:bidi="ar-SA"/>
        </w:rPr>
        <w:t>。</w:t>
      </w:r>
    </w:p>
    <w:p w14:paraId="4C7D259F">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四、技术要求：</w:t>
      </w:r>
    </w:p>
    <w:p w14:paraId="007C33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Times New Roman" w:eastAsia="宋体" w:cs="宋体"/>
          <w:color w:val="auto"/>
          <w:kern w:val="1"/>
          <w:sz w:val="24"/>
          <w:szCs w:val="21"/>
          <w:highlight w:val="none"/>
          <w:lang w:val="en-US" w:eastAsia="zh-CN" w:bidi="ar-SA"/>
        </w:rPr>
        <w:sectPr>
          <w:headerReference r:id="rId5" w:type="default"/>
          <w:footerReference r:id="rId6" w:type="default"/>
          <w:pgSz w:w="11906" w:h="16838"/>
          <w:pgMar w:top="1531" w:right="1418" w:bottom="1361" w:left="1418" w:header="720" w:footer="720" w:gutter="0"/>
          <w:pgNumType w:fmt="decimal"/>
          <w:cols w:space="720" w:num="1"/>
          <w:rtlGutter w:val="0"/>
          <w:docGrid w:linePitch="285" w:charSpace="0"/>
        </w:sectPr>
      </w:pPr>
    </w:p>
    <w:p w14:paraId="07DBAB55">
      <w:pPr>
        <w:widowControl w:val="0"/>
        <w:bidi w:val="0"/>
        <w:ind w:firstLine="482"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kern w:val="2"/>
          <w:sz w:val="24"/>
          <w:szCs w:val="24"/>
          <w:highlight w:val="none"/>
          <w:lang w:bidi="ar-SA"/>
        </w:rPr>
        <w:t>项目背景</w:t>
      </w:r>
    </w:p>
    <w:p w14:paraId="54FC5850">
      <w:pPr>
        <w:ind w:firstLine="480" w:firstLineChars="200"/>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鉴于医疗技术的持续进步与人民群众健康需求的不断增长，医疗纠纷与医疗事故</w:t>
      </w:r>
      <w:r>
        <w:rPr>
          <w:rFonts w:hint="eastAsia" w:ascii="宋体" w:hAnsi="宋体" w:eastAsia="宋体" w:cs="宋体"/>
          <w:kern w:val="2"/>
          <w:sz w:val="24"/>
          <w:szCs w:val="24"/>
          <w:highlight w:val="none"/>
          <w:lang w:val="en-US" w:eastAsia="zh-CN" w:bidi="ar-SA"/>
        </w:rPr>
        <w:t>时</w:t>
      </w:r>
      <w:r>
        <w:rPr>
          <w:rFonts w:hint="eastAsia" w:ascii="宋体" w:hAnsi="宋体" w:eastAsia="宋体" w:cs="宋体"/>
          <w:kern w:val="2"/>
          <w:sz w:val="24"/>
          <w:szCs w:val="24"/>
          <w:highlight w:val="none"/>
          <w:lang w:bidi="ar-SA"/>
        </w:rPr>
        <w:t>有发生</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为</w:t>
      </w:r>
      <w:r>
        <w:rPr>
          <w:rFonts w:hint="eastAsia" w:ascii="宋体" w:hAnsi="宋体" w:eastAsia="宋体" w:cs="宋体"/>
          <w:kern w:val="2"/>
          <w:sz w:val="24"/>
          <w:szCs w:val="24"/>
          <w:highlight w:val="none"/>
          <w:lang w:bidi="ar-SA"/>
        </w:rPr>
        <w:t>有效化解医疗风险，减轻医疗机构及其医务人员的经济负担，增强医疗机构应对医疗纠纷的能力，计划购买医疗责任保险</w:t>
      </w:r>
      <w:r>
        <w:rPr>
          <w:rFonts w:hint="eastAsia" w:ascii="宋体" w:hAnsi="宋体" w:eastAsia="宋体" w:cs="宋体"/>
          <w:kern w:val="2"/>
          <w:sz w:val="24"/>
          <w:szCs w:val="24"/>
          <w:highlight w:val="none"/>
          <w:lang w:val="en-US" w:eastAsia="zh-CN" w:bidi="ar-SA"/>
        </w:rPr>
        <w:t>及其附加险种是很有必要的，</w:t>
      </w:r>
      <w:r>
        <w:rPr>
          <w:rFonts w:hint="eastAsia" w:ascii="宋体" w:hAnsi="宋体" w:eastAsia="宋体" w:cs="宋体"/>
          <w:kern w:val="2"/>
          <w:sz w:val="24"/>
          <w:szCs w:val="24"/>
          <w:highlight w:val="none"/>
          <w:lang w:eastAsia="zh-CN" w:bidi="ar-SA"/>
        </w:rPr>
        <w:t>医疗责任保险不仅能够为医疗机构和医务人员提供风险转移机制，降低财务压力，还能通过及时的经济补偿缓和医患矛盾，维护社会稳定。此外，它有助于提升医疗机构的信誉度，增强患者对医疗机构的信任感，进一步促进医患关系的和谐</w:t>
      </w:r>
      <w:r>
        <w:rPr>
          <w:rFonts w:hint="eastAsia" w:ascii="宋体" w:hAnsi="宋体" w:eastAsia="宋体" w:cs="宋体"/>
          <w:kern w:val="2"/>
          <w:sz w:val="24"/>
          <w:szCs w:val="24"/>
          <w:highlight w:val="none"/>
          <w:lang w:val="en-US" w:eastAsia="zh-CN" w:bidi="ar-SA"/>
        </w:rPr>
        <w:t>发展</w:t>
      </w:r>
      <w:r>
        <w:rPr>
          <w:rFonts w:hint="eastAsia" w:ascii="宋体" w:hAnsi="宋体" w:eastAsia="宋体" w:cs="宋体"/>
          <w:kern w:val="2"/>
          <w:sz w:val="24"/>
          <w:szCs w:val="24"/>
          <w:highlight w:val="none"/>
          <w:lang w:eastAsia="zh-CN" w:bidi="ar-SA"/>
        </w:rPr>
        <w:t>。</w:t>
      </w:r>
    </w:p>
    <w:p w14:paraId="4FF0B206">
      <w:pPr>
        <w:widowControl w:val="0"/>
        <w:numPr>
          <w:ilvl w:val="0"/>
          <w:numId w:val="0"/>
        </w:numPr>
        <w:bidi w:val="0"/>
        <w:ind w:firstLine="482"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（二）项目概况</w:t>
      </w:r>
    </w:p>
    <w:p w14:paraId="7EFAD939">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bidi="ar-SA"/>
        </w:rPr>
        <w:t>依据《中华人民共和国医师法》、《中华人民共和国基本医疗卫生与健康促进法》、《医疗质量管理办法》、《“十四五”国民健康规划》（国办发〔2022〕11号）以及《贵州省卫生健康委等15部门关于进一步做好全省医院安全秩序管理工作的通知》（黔卫健发〔2024〕19号）的相关规定，医疗机构需增强风险防范意识，合理运用医疗责任保险及医疗意外保险等风险分担机制，完善风险防范体系，确保以人民健康为中心，持续提升人民健康水平。为提升</w:t>
      </w:r>
      <w:r>
        <w:rPr>
          <w:rFonts w:hint="eastAsia"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bidi="ar-SA"/>
        </w:rPr>
        <w:t>及其下属</w:t>
      </w:r>
      <w:r>
        <w:rPr>
          <w:rFonts w:hint="eastAsia" w:ascii="宋体" w:hAnsi="宋体" w:eastAsia="宋体" w:cs="宋体"/>
          <w:kern w:val="2"/>
          <w:sz w:val="24"/>
          <w:szCs w:val="24"/>
          <w:highlight w:val="none"/>
          <w:lang w:val="en-US" w:eastAsia="zh-CN" w:bidi="ar-SA"/>
        </w:rPr>
        <w:t>基层医疗机构</w:t>
      </w:r>
      <w:r>
        <w:rPr>
          <w:rFonts w:hint="eastAsia" w:ascii="宋体" w:hAnsi="宋体" w:eastAsia="宋体" w:cs="宋体"/>
          <w:kern w:val="2"/>
          <w:sz w:val="24"/>
          <w:szCs w:val="24"/>
          <w:highlight w:val="none"/>
          <w:lang w:bidi="ar-SA"/>
        </w:rPr>
        <w:t>的风险防控能力，保障医患双方合法权益，</w:t>
      </w:r>
      <w:r>
        <w:rPr>
          <w:rFonts w:hint="eastAsia" w:ascii="宋体" w:hAnsi="宋体" w:eastAsia="宋体" w:cs="宋体"/>
          <w:kern w:val="2"/>
          <w:sz w:val="24"/>
          <w:szCs w:val="24"/>
          <w:highlight w:val="none"/>
          <w:lang w:val="en-US" w:eastAsia="zh-CN" w:bidi="ar-SA"/>
        </w:rPr>
        <w:t>采购人拟采购2025年医责险，含下属花果园街道第一社区卫生服务中心、</w:t>
      </w:r>
      <w:r>
        <w:rPr>
          <w:rFonts w:hint="eastAsia" w:ascii="宋体" w:hAnsi="宋体" w:eastAsia="宋体" w:cs="宋体"/>
          <w:b w:val="0"/>
          <w:kern w:val="2"/>
          <w:sz w:val="24"/>
          <w:szCs w:val="24"/>
          <w:highlight w:val="none"/>
          <w:lang w:val="en-US" w:eastAsia="zh-CN" w:bidi="ar-SA"/>
        </w:rPr>
        <w:t>沙冲街道社区卫生服务中心</w:t>
      </w:r>
      <w:r>
        <w:rPr>
          <w:rFonts w:hint="eastAsia" w:ascii="宋体" w:hAnsi="宋体" w:eastAsia="宋体" w:cs="宋体"/>
          <w:kern w:val="2"/>
          <w:sz w:val="24"/>
          <w:szCs w:val="24"/>
          <w:highlight w:val="none"/>
          <w:lang w:val="en-US" w:eastAsia="zh-CN" w:bidi="ar-SA"/>
        </w:rPr>
        <w:t>、山水黔城卫生服务中心、</w:t>
      </w:r>
      <w:r>
        <w:rPr>
          <w:rFonts w:hint="eastAsia" w:ascii="宋体" w:hAnsi="宋体" w:eastAsia="宋体" w:cs="宋体"/>
          <w:color w:val="auto"/>
          <w:kern w:val="2"/>
          <w:sz w:val="24"/>
          <w:szCs w:val="24"/>
          <w:highlight w:val="none"/>
          <w:lang w:val="en-US" w:eastAsia="zh-CN" w:bidi="ar-SA"/>
        </w:rPr>
        <w:t>新华路街道社区卫生服务中心</w:t>
      </w:r>
      <w:r>
        <w:rPr>
          <w:rFonts w:hint="eastAsia" w:ascii="宋体" w:hAnsi="宋体" w:eastAsia="宋体" w:cs="宋体"/>
          <w:kern w:val="2"/>
          <w:sz w:val="24"/>
          <w:szCs w:val="24"/>
          <w:highlight w:val="none"/>
          <w:lang w:val="en-US" w:eastAsia="zh-CN" w:bidi="ar-SA"/>
        </w:rPr>
        <w:t>、永乐乡卫生院及</w:t>
      </w:r>
      <w:r>
        <w:rPr>
          <w:rFonts w:hint="eastAsia" w:ascii="宋体" w:hAnsi="宋体" w:eastAsia="宋体" w:cs="宋体"/>
          <w:b w:val="0"/>
          <w:kern w:val="2"/>
          <w:sz w:val="24"/>
          <w:szCs w:val="24"/>
          <w:highlight w:val="none"/>
          <w:lang w:val="en-US" w:eastAsia="zh-CN" w:bidi="ar-SA"/>
        </w:rPr>
        <w:t>南明区人民医院驻贵阳市公安局南明分局医务室</w:t>
      </w:r>
      <w:r>
        <w:rPr>
          <w:rFonts w:hint="eastAsia" w:ascii="宋体" w:hAnsi="宋体" w:eastAsia="宋体" w:cs="宋体"/>
          <w:kern w:val="2"/>
          <w:sz w:val="24"/>
          <w:szCs w:val="24"/>
          <w:highlight w:val="none"/>
          <w:lang w:val="en-US" w:eastAsia="zh-CN" w:bidi="ar-SA"/>
        </w:rPr>
        <w:t>。</w:t>
      </w:r>
    </w:p>
    <w:p w14:paraId="6C4D07B0">
      <w:pPr>
        <w:numPr>
          <w:ilvl w:val="0"/>
          <w:numId w:val="0"/>
        </w:numPr>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（三）投保险种</w:t>
      </w:r>
    </w:p>
    <w:p w14:paraId="71C3AB2E">
      <w:pPr>
        <w:numPr>
          <w:ilvl w:val="0"/>
          <w:numId w:val="0"/>
        </w:numPr>
        <w:ind w:firstLine="64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投标险种包含但不限于以下5个险种</w:t>
      </w:r>
    </w:p>
    <w:p w14:paraId="76166A6D">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bidi="ar-SA"/>
        </w:rPr>
        <w:t>医疗责任保险</w:t>
      </w:r>
    </w:p>
    <w:p w14:paraId="5657C18E">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是指参保的医疗机构及其医务人员在诊疗活动中因执业过失导致患者人身损害和精神损失以及法律费用等，保险人承担相应的赔偿责任。</w:t>
      </w:r>
    </w:p>
    <w:p w14:paraId="4589ED29">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bidi="ar-SA"/>
        </w:rPr>
        <w:t>附加医疗机构工作人员遭受意外伤害保险</w:t>
      </w:r>
    </w:p>
    <w:p w14:paraId="4D7575CD">
      <w:pPr>
        <w:widowControl w:val="0"/>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医疗机构工作人员遭受意外伤害保险责任</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bidi="ar-SA"/>
        </w:rPr>
        <w:t>是指参保的医疗机构的工作人员在从事与其资格相符的工作中，因产生医疗纠纷而遭受患方的故意伤害，造成其人身损害，保险人承担相应的赔偿责任。</w:t>
      </w:r>
    </w:p>
    <w:p w14:paraId="7F8A9914">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bidi="ar-SA"/>
        </w:rPr>
        <w:t>附加医疗机构场所责任保险</w:t>
      </w:r>
    </w:p>
    <w:p w14:paraId="7E75437B">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是指在保险单明细表列明的保险期间及承保区域范围内，参保的医疗机构由于下列原因导致第三者（含患者）的人身伤害或财产损失，依法应由医疗机构承担经济赔偿责任时，保险人承担相应的赔偿责任：</w:t>
      </w:r>
    </w:p>
    <w:p w14:paraId="2496339E">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①医疗机构的公共设施存在缺陷；</w:t>
      </w:r>
    </w:p>
    <w:p w14:paraId="544A7F0D">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②医疗机构或其雇员对医疗机构内的公共设施管理不善或操作、维护不当；</w:t>
      </w:r>
    </w:p>
    <w:p w14:paraId="377323E9">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③医疗机构或其雇员的过失导致的火灾或爆炸；</w:t>
      </w:r>
    </w:p>
    <w:p w14:paraId="1F1CB4F1">
      <w:pPr>
        <w:widowControl w:val="0"/>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④医疗机构或其雇员的过失导致医疗机构提供的食品引发食物中毒或其他食源性疾患。</w:t>
      </w:r>
    </w:p>
    <w:p w14:paraId="5CC22594">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bidi="ar-SA"/>
        </w:rPr>
        <w:t>附加医务人员职业暴露责任保险</w:t>
      </w:r>
    </w:p>
    <w:p w14:paraId="408102C4">
      <w:pPr>
        <w:widowControl w:val="0"/>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 xml:space="preserve">是指参保的医疗机构的医务人员在从事与其执业资格相符的诊疗活动中遭受职业暴露，依照法律应由医疗机构承担的经济赔偿责任，保险人承担相应的赔偿责任。 </w:t>
      </w:r>
    </w:p>
    <w:p w14:paraId="19F25AF6">
      <w:pPr>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5.白衣天使意外伤害保险：</w:t>
      </w:r>
    </w:p>
    <w:p w14:paraId="1E608A52">
      <w:pPr>
        <w:jc w:val="both"/>
        <w:rPr>
          <w:rFonts w:hint="eastAsia" w:ascii="宋体" w:hAnsi="宋体" w:eastAsia="宋体" w:cs="宋体"/>
          <w:kern w:val="2"/>
          <w:highlight w:val="none"/>
          <w:lang w:val="en-US" w:eastAsia="zh-CN"/>
        </w:rPr>
      </w:pPr>
      <w:r>
        <w:rPr>
          <w:rFonts w:hint="eastAsia" w:ascii="宋体" w:hAnsi="宋体" w:eastAsia="宋体" w:cs="宋体"/>
          <w:kern w:val="2"/>
          <w:highlight w:val="none"/>
          <w:lang w:val="en-US" w:eastAsia="zh-CN"/>
        </w:rPr>
        <w:t>在保险期间内，被保险人自获得被保资格之日起遭受意外伤害，并因该意外伤害导致身故、伤残的，保险人依照下列约定给付保险金，且给付下列各项保险金之和不超过该被保险人的意外伤害身故伤残保险金额。</w:t>
      </w:r>
    </w:p>
    <w:p w14:paraId="7C412058">
      <w:pPr>
        <w:numPr>
          <w:ilvl w:val="0"/>
          <w:numId w:val="2"/>
        </w:num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维保清单:</w:t>
      </w:r>
    </w:p>
    <w:p w14:paraId="08D822A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default"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受保单位名单</w:t>
      </w:r>
    </w:p>
    <w:tbl>
      <w:tblPr>
        <w:tblStyle w:val="11"/>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5768"/>
        <w:gridCol w:w="1205"/>
        <w:gridCol w:w="1192"/>
      </w:tblGrid>
      <w:tr w14:paraId="6904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24D3DC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3C5ACF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单位名字</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E05AE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保费</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0F430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881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3E54C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FDB1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kern w:val="2"/>
                <w:sz w:val="24"/>
                <w:szCs w:val="24"/>
                <w:highlight w:val="none"/>
                <w:lang w:val="en-US" w:eastAsia="zh-CN" w:bidi="ar-SA"/>
              </w:rPr>
              <w:t>贵阳市南明区人民医院</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B34FE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24E62E62">
            <w:pPr>
              <w:jc w:val="center"/>
              <w:rPr>
                <w:rFonts w:hint="eastAsia" w:ascii="宋体" w:hAnsi="宋体" w:eastAsia="宋体" w:cs="宋体"/>
                <w:i w:val="0"/>
                <w:iCs w:val="0"/>
                <w:color w:val="000000"/>
                <w:sz w:val="24"/>
                <w:szCs w:val="24"/>
                <w:highlight w:val="none"/>
                <w:u w:val="none"/>
              </w:rPr>
            </w:pPr>
          </w:p>
        </w:tc>
      </w:tr>
      <w:tr w14:paraId="4D47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28C30AB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D02F64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山水黔城卫生服务中心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7781F6B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3DC6F2A9">
            <w:pPr>
              <w:jc w:val="center"/>
              <w:rPr>
                <w:rFonts w:hint="eastAsia" w:ascii="宋体" w:hAnsi="宋体" w:eastAsia="宋体" w:cs="宋体"/>
                <w:i w:val="0"/>
                <w:iCs w:val="0"/>
                <w:color w:val="000000"/>
                <w:sz w:val="24"/>
                <w:szCs w:val="24"/>
                <w:highlight w:val="none"/>
                <w:u w:val="none"/>
              </w:rPr>
            </w:pPr>
          </w:p>
        </w:tc>
      </w:tr>
      <w:tr w14:paraId="2B8A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6D27391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8BF667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永乐乡卫生院</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7EF96B0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2A17BACA">
            <w:pPr>
              <w:jc w:val="center"/>
              <w:rPr>
                <w:rFonts w:hint="eastAsia" w:ascii="宋体" w:hAnsi="宋体" w:eastAsia="宋体" w:cs="宋体"/>
                <w:i w:val="0"/>
                <w:iCs w:val="0"/>
                <w:color w:val="000000"/>
                <w:sz w:val="24"/>
                <w:szCs w:val="24"/>
                <w:highlight w:val="none"/>
                <w:u w:val="none"/>
              </w:rPr>
            </w:pPr>
          </w:p>
        </w:tc>
      </w:tr>
      <w:tr w14:paraId="064A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3D7CB81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445168A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沙冲街道社区卫生服务中心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81426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B4284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4D8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2D0E80A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C33EE3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花果园街道第一社区卫生服务中心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4730B42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19316928">
            <w:pPr>
              <w:jc w:val="center"/>
              <w:rPr>
                <w:rFonts w:hint="eastAsia" w:ascii="宋体" w:hAnsi="宋体" w:eastAsia="宋体" w:cs="宋体"/>
                <w:i w:val="0"/>
                <w:iCs w:val="0"/>
                <w:color w:val="000000"/>
                <w:sz w:val="24"/>
                <w:szCs w:val="24"/>
                <w:highlight w:val="none"/>
                <w:u w:val="none"/>
              </w:rPr>
            </w:pPr>
          </w:p>
        </w:tc>
      </w:tr>
      <w:tr w14:paraId="77CE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16C1A2E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7F692B3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新华路街道社区卫生服务中心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14C96EE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1E76C9AB">
            <w:pPr>
              <w:jc w:val="center"/>
              <w:rPr>
                <w:rFonts w:hint="eastAsia" w:ascii="宋体" w:hAnsi="宋体" w:eastAsia="宋体" w:cs="宋体"/>
                <w:i w:val="0"/>
                <w:iCs w:val="0"/>
                <w:color w:val="000000"/>
                <w:sz w:val="24"/>
                <w:szCs w:val="24"/>
                <w:highlight w:val="none"/>
                <w:u w:val="none"/>
              </w:rPr>
            </w:pPr>
          </w:p>
        </w:tc>
      </w:tr>
      <w:tr w14:paraId="1989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54D828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D40390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南明区人民医院驻贵阳市公安局南明分局医务室</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06C3FF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787F346">
            <w:pPr>
              <w:jc w:val="center"/>
              <w:rPr>
                <w:rFonts w:hint="eastAsia" w:ascii="宋体" w:hAnsi="宋体" w:eastAsia="宋体" w:cs="宋体"/>
                <w:i w:val="0"/>
                <w:iCs w:val="0"/>
                <w:color w:val="000000"/>
                <w:sz w:val="24"/>
                <w:szCs w:val="24"/>
                <w:highlight w:val="none"/>
                <w:u w:val="none"/>
              </w:rPr>
            </w:pPr>
          </w:p>
        </w:tc>
      </w:tr>
    </w:tbl>
    <w:p w14:paraId="4A3C4DCB">
      <w:pPr>
        <w:numPr>
          <w:ilvl w:val="0"/>
          <w:numId w:val="0"/>
        </w:numPr>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1.投保险种：</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1896"/>
        <w:gridCol w:w="1829"/>
        <w:gridCol w:w="2117"/>
      </w:tblGrid>
      <w:tr w14:paraId="429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2" w:type="pct"/>
            <w:noWrap w:val="0"/>
            <w:vAlign w:val="center"/>
          </w:tcPr>
          <w:p w14:paraId="7C8F81FF">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投保险种</w:t>
            </w:r>
          </w:p>
          <w:p w14:paraId="1F215633">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1021" w:type="pct"/>
            <w:noWrap w:val="0"/>
            <w:vAlign w:val="center"/>
          </w:tcPr>
          <w:p w14:paraId="3DF12E61">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累计责任限额</w:t>
            </w:r>
          </w:p>
        </w:tc>
        <w:tc>
          <w:tcPr>
            <w:tcW w:w="985" w:type="pct"/>
            <w:noWrap w:val="0"/>
            <w:vAlign w:val="center"/>
          </w:tcPr>
          <w:p w14:paraId="255A69E7">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每次事故责任限额</w:t>
            </w:r>
          </w:p>
        </w:tc>
        <w:tc>
          <w:tcPr>
            <w:tcW w:w="1140" w:type="pct"/>
            <w:noWrap w:val="0"/>
            <w:vAlign w:val="center"/>
          </w:tcPr>
          <w:p w14:paraId="219A7FB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每次事故每人赔偿限额</w:t>
            </w:r>
          </w:p>
        </w:tc>
      </w:tr>
      <w:tr w14:paraId="4187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52" w:type="pct"/>
            <w:noWrap w:val="0"/>
            <w:vAlign w:val="center"/>
          </w:tcPr>
          <w:p w14:paraId="1F3663C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医疗责任险</w:t>
            </w:r>
          </w:p>
        </w:tc>
        <w:tc>
          <w:tcPr>
            <w:tcW w:w="1021" w:type="pct"/>
            <w:noWrap w:val="0"/>
            <w:vAlign w:val="center"/>
          </w:tcPr>
          <w:p w14:paraId="2BCC3F9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53981F3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140" w:type="pct"/>
            <w:noWrap w:val="0"/>
            <w:vAlign w:val="center"/>
          </w:tcPr>
          <w:p w14:paraId="1FE6DBA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r w14:paraId="39A0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52" w:type="pct"/>
            <w:noWrap w:val="0"/>
            <w:vAlign w:val="center"/>
          </w:tcPr>
          <w:p w14:paraId="0F05354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附加医疗机构场所责任保险</w:t>
            </w:r>
          </w:p>
        </w:tc>
        <w:tc>
          <w:tcPr>
            <w:tcW w:w="1021" w:type="pct"/>
            <w:noWrap w:val="0"/>
            <w:vAlign w:val="center"/>
          </w:tcPr>
          <w:p w14:paraId="4C776334">
            <w:pPr>
              <w:bidi w:val="0"/>
              <w:spacing w:line="48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5BE623B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100万元</w:t>
            </w:r>
          </w:p>
        </w:tc>
        <w:tc>
          <w:tcPr>
            <w:tcW w:w="1140" w:type="pct"/>
            <w:noWrap w:val="0"/>
            <w:vAlign w:val="center"/>
          </w:tcPr>
          <w:p w14:paraId="143EFC3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10万元</w:t>
            </w:r>
          </w:p>
        </w:tc>
      </w:tr>
      <w:tr w14:paraId="43CC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2" w:type="pct"/>
            <w:noWrap w:val="0"/>
            <w:vAlign w:val="center"/>
          </w:tcPr>
          <w:p w14:paraId="3FB68C3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附加医疗机构工作人员遭受伤害责任保险</w:t>
            </w:r>
          </w:p>
        </w:tc>
        <w:tc>
          <w:tcPr>
            <w:tcW w:w="1021" w:type="pct"/>
            <w:noWrap w:val="0"/>
            <w:vAlign w:val="center"/>
          </w:tcPr>
          <w:p w14:paraId="2AC38B1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04EB581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140" w:type="pct"/>
            <w:noWrap w:val="0"/>
            <w:vAlign w:val="center"/>
          </w:tcPr>
          <w:p w14:paraId="49DE65B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r w14:paraId="6EE0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2" w:type="pct"/>
            <w:noWrap w:val="0"/>
            <w:vAlign w:val="center"/>
          </w:tcPr>
          <w:p w14:paraId="6D451FD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附加医务人员职业暴露责任保险</w:t>
            </w:r>
          </w:p>
        </w:tc>
        <w:tc>
          <w:tcPr>
            <w:tcW w:w="1021" w:type="pct"/>
            <w:noWrap w:val="0"/>
            <w:vAlign w:val="center"/>
          </w:tcPr>
          <w:p w14:paraId="52ECAD25">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7D3E25D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140" w:type="pct"/>
            <w:noWrap w:val="0"/>
            <w:vAlign w:val="center"/>
          </w:tcPr>
          <w:p w14:paraId="048D0082">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bl>
    <w:p w14:paraId="7DD9B4DF">
      <w:pPr>
        <w:pStyle w:val="5"/>
        <w:ind w:left="0" w:leftChars="0" w:firstLine="480" w:firstLineChars="20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1.1医疗机构基准保费：</w:t>
      </w:r>
    </w:p>
    <w:p w14:paraId="46CDE439">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（1）床位基准保费预计198 床位；</w:t>
      </w:r>
    </w:p>
    <w:p w14:paraId="15A6EDEA">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（2）住院病人手术人次基准保费预计3450人数</w:t>
      </w:r>
    </w:p>
    <w:p w14:paraId="5989A5AE">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 医务人员基准保费：</w:t>
      </w:r>
    </w:p>
    <w:p w14:paraId="73AE1E2C">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医务人员统扯保险费</w:t>
      </w:r>
      <w:r>
        <w:rPr>
          <w:rFonts w:hint="eastAsia" w:eastAsia="宋体"/>
          <w:highlight w:val="none"/>
          <w:lang w:val="en-US" w:eastAsia="zh-CN"/>
        </w:rPr>
        <w:t>预计</w:t>
      </w:r>
      <w:r>
        <w:rPr>
          <w:rFonts w:hint="eastAsia" w:ascii="宋体" w:hAnsi="宋体" w:eastAsia="宋体" w:cs="宋体"/>
          <w:kern w:val="2"/>
          <w:sz w:val="24"/>
          <w:szCs w:val="24"/>
          <w:highlight w:val="none"/>
          <w:lang w:val="en-US" w:eastAsia="zh-CN" w:bidi="ar-SA"/>
        </w:rPr>
        <w:t>280人；</w:t>
      </w:r>
    </w:p>
    <w:p w14:paraId="2787326F">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医务人员基准保费；</w:t>
      </w:r>
    </w:p>
    <w:p w14:paraId="6F0E68C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 根据贵阳市贵阳市南明区人民医院的实际运行情况需要在基准保险费的基础上考虑相应系数：</w:t>
      </w:r>
    </w:p>
    <w:p w14:paraId="7CFFC1E1">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 附加险：</w:t>
      </w:r>
    </w:p>
    <w:p w14:paraId="3D251D73">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（1）附加医疗机构场所责任保险；</w:t>
      </w:r>
    </w:p>
    <w:p w14:paraId="4FF40AC1">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（2）附加医疗机构工作人员遭受伤害责任保险；</w:t>
      </w:r>
    </w:p>
    <w:p w14:paraId="4D53E887">
      <w:pPr>
        <w:pStyle w:val="14"/>
        <w:numPr>
          <w:ilvl w:val="0"/>
          <w:numId w:val="0"/>
        </w:num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（3）附加医务人员职业暴露责任保险；</w:t>
      </w:r>
    </w:p>
    <w:p w14:paraId="405E9FB1">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2.山水黔城卫生服务中心保费测算：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1960"/>
        <w:gridCol w:w="2720"/>
        <w:gridCol w:w="2261"/>
      </w:tblGrid>
      <w:tr w14:paraId="6766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1" w:type="pct"/>
            <w:noWrap w:val="0"/>
            <w:vAlign w:val="center"/>
          </w:tcPr>
          <w:p w14:paraId="4507214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60FF667F">
            <w:pPr>
              <w:pStyle w:val="2"/>
              <w:jc w:val="both"/>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1055" w:type="pct"/>
            <w:noWrap w:val="0"/>
            <w:vAlign w:val="center"/>
          </w:tcPr>
          <w:p w14:paraId="70D6C3D5">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464" w:type="pct"/>
            <w:noWrap w:val="0"/>
            <w:vAlign w:val="center"/>
          </w:tcPr>
          <w:p w14:paraId="6A5B223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217" w:type="pct"/>
            <w:noWrap w:val="0"/>
            <w:vAlign w:val="center"/>
          </w:tcPr>
          <w:p w14:paraId="0DA9FDF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7398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61" w:type="pct"/>
            <w:noWrap w:val="0"/>
            <w:vAlign w:val="center"/>
          </w:tcPr>
          <w:p w14:paraId="66B0EF5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1055" w:type="pct"/>
            <w:noWrap w:val="0"/>
            <w:vAlign w:val="center"/>
          </w:tcPr>
          <w:p w14:paraId="5815E53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464" w:type="pct"/>
            <w:noWrap w:val="0"/>
            <w:vAlign w:val="center"/>
          </w:tcPr>
          <w:p w14:paraId="52FA3A8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217" w:type="pct"/>
            <w:noWrap w:val="0"/>
            <w:vAlign w:val="center"/>
          </w:tcPr>
          <w:p w14:paraId="4D1894B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7982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261" w:type="pct"/>
            <w:noWrap w:val="0"/>
            <w:vAlign w:val="center"/>
          </w:tcPr>
          <w:p w14:paraId="2EC45120">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附加医疗机构场所责任保险</w:t>
            </w:r>
          </w:p>
        </w:tc>
        <w:tc>
          <w:tcPr>
            <w:tcW w:w="1055" w:type="pct"/>
            <w:noWrap w:val="0"/>
            <w:vAlign w:val="center"/>
          </w:tcPr>
          <w:p w14:paraId="2EB78260">
            <w:pPr>
              <w:bidi w:val="0"/>
              <w:spacing w:line="480" w:lineRule="auto"/>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464" w:type="pct"/>
            <w:noWrap w:val="0"/>
            <w:vAlign w:val="center"/>
          </w:tcPr>
          <w:p w14:paraId="240C5F30">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217" w:type="pct"/>
            <w:noWrap w:val="0"/>
            <w:vAlign w:val="center"/>
          </w:tcPr>
          <w:p w14:paraId="2C130FD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10万元</w:t>
            </w:r>
          </w:p>
        </w:tc>
      </w:tr>
      <w:tr w14:paraId="0F2B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1" w:type="pct"/>
            <w:noWrap w:val="0"/>
            <w:vAlign w:val="center"/>
          </w:tcPr>
          <w:p w14:paraId="645E2B4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1055" w:type="pct"/>
            <w:noWrap w:val="0"/>
            <w:vAlign w:val="center"/>
          </w:tcPr>
          <w:p w14:paraId="73028FB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464" w:type="pct"/>
            <w:noWrap w:val="0"/>
            <w:vAlign w:val="center"/>
          </w:tcPr>
          <w:p w14:paraId="385AEA6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217" w:type="pct"/>
            <w:noWrap w:val="0"/>
            <w:vAlign w:val="center"/>
          </w:tcPr>
          <w:p w14:paraId="4CAF17A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0EBDF2D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保费合计：医务人员数×医务人员保费+诊疗人次数×诊疗人次保费+年入院人次数×入院人次保费+白衣天使×医务人员数+附加险保费。</w:t>
      </w:r>
    </w:p>
    <w:p w14:paraId="510D03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医务人员数预计21人</w:t>
      </w:r>
    </w:p>
    <w:p w14:paraId="20F159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诊疗人数预计9907人</w:t>
      </w:r>
    </w:p>
    <w:p w14:paraId="0385CB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住院人次预计102人</w:t>
      </w:r>
    </w:p>
    <w:p w14:paraId="65256A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主险保费合计：医务人员*保费+诊疗人数*保费+住院人次*保费</w:t>
      </w:r>
    </w:p>
    <w:p w14:paraId="436D5AE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附加医疗机构场所责任保险；</w:t>
      </w:r>
    </w:p>
    <w:p w14:paraId="510A44D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p w14:paraId="73FB8CCA">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3.永乐乡卫生院保费测算：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1904"/>
        <w:gridCol w:w="2383"/>
        <w:gridCol w:w="2549"/>
      </w:tblGrid>
      <w:tr w14:paraId="668D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7" w:type="pct"/>
            <w:noWrap w:val="0"/>
            <w:vAlign w:val="center"/>
          </w:tcPr>
          <w:p w14:paraId="34AAD075">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209249CF">
            <w:pPr>
              <w:pStyle w:val="2"/>
              <w:jc w:val="both"/>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1025" w:type="pct"/>
            <w:noWrap w:val="0"/>
            <w:vAlign w:val="center"/>
          </w:tcPr>
          <w:p w14:paraId="643BD66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3" w:type="pct"/>
            <w:noWrap w:val="0"/>
            <w:vAlign w:val="center"/>
          </w:tcPr>
          <w:p w14:paraId="56C2B29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4B1D95B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044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17" w:type="pct"/>
            <w:noWrap w:val="0"/>
            <w:vAlign w:val="center"/>
          </w:tcPr>
          <w:p w14:paraId="0B8ECEA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1025" w:type="pct"/>
            <w:noWrap w:val="0"/>
            <w:vAlign w:val="center"/>
          </w:tcPr>
          <w:p w14:paraId="63EA016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3" w:type="pct"/>
            <w:noWrap w:val="0"/>
            <w:vAlign w:val="center"/>
          </w:tcPr>
          <w:p w14:paraId="7F0787A0">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14B62F1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2DA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7" w:type="pct"/>
            <w:noWrap w:val="0"/>
            <w:vAlign w:val="center"/>
          </w:tcPr>
          <w:p w14:paraId="446967E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1025" w:type="pct"/>
            <w:noWrap w:val="0"/>
            <w:vAlign w:val="center"/>
          </w:tcPr>
          <w:p w14:paraId="2571B02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3" w:type="pct"/>
            <w:noWrap w:val="0"/>
            <w:vAlign w:val="center"/>
          </w:tcPr>
          <w:p w14:paraId="0EAF9BA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775D65F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700BD4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w:t>
      </w:r>
    </w:p>
    <w:p w14:paraId="38048F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医务人员数预计16人</w:t>
      </w:r>
    </w:p>
    <w:p w14:paraId="217536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诊疗人数预计5000人</w:t>
      </w:r>
    </w:p>
    <w:p w14:paraId="47A56BD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白衣天使意外伤害保险预计16人：</w:t>
      </w:r>
    </w:p>
    <w:p w14:paraId="049C8097">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4.沙冲街道社区卫生服务中心保费测算：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0A20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5A171D5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3CAD08C2">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4B263298">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2" w:type="pct"/>
            <w:noWrap w:val="0"/>
            <w:vAlign w:val="center"/>
          </w:tcPr>
          <w:p w14:paraId="6BCC9328">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07607322">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069D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55A6C84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787" w:type="pct"/>
            <w:noWrap w:val="0"/>
            <w:vAlign w:val="center"/>
          </w:tcPr>
          <w:p w14:paraId="70DE7DF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2" w:type="pct"/>
            <w:noWrap w:val="0"/>
            <w:vAlign w:val="center"/>
          </w:tcPr>
          <w:p w14:paraId="19D67EB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624DE77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082D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20F221F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787" w:type="pct"/>
            <w:noWrap w:val="0"/>
            <w:vAlign w:val="center"/>
          </w:tcPr>
          <w:p w14:paraId="6B13F51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2" w:type="pct"/>
            <w:noWrap w:val="0"/>
            <w:vAlign w:val="center"/>
          </w:tcPr>
          <w:p w14:paraId="1257CE4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635C791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585D7EB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保费合计：医务人员数×医务人员保费+诊疗人次数×诊疗人次保费+年入院人次数×入院人次保费+白衣天使保费×医务人员数。</w:t>
      </w:r>
    </w:p>
    <w:p w14:paraId="2FF79E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医务人员数预计12人</w:t>
      </w:r>
    </w:p>
    <w:p w14:paraId="3E7F51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诊疗人数预计25840人</w:t>
      </w:r>
    </w:p>
    <w:p w14:paraId="320507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住院人次预计343人</w:t>
      </w:r>
    </w:p>
    <w:p w14:paraId="765C5D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白衣天使意外伤害保险预计12人</w:t>
      </w:r>
    </w:p>
    <w:p w14:paraId="3A281496">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5.花果园街道第一社区卫生服务中心保费测算：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3812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22C50A88">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00316855">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66507C2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2" w:type="pct"/>
            <w:noWrap w:val="0"/>
            <w:vAlign w:val="center"/>
          </w:tcPr>
          <w:p w14:paraId="393F7457">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615F7C4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3370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4BC796E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787" w:type="pct"/>
            <w:noWrap w:val="0"/>
            <w:vAlign w:val="center"/>
          </w:tcPr>
          <w:p w14:paraId="5EB4D31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2" w:type="pct"/>
            <w:noWrap w:val="0"/>
            <w:vAlign w:val="center"/>
          </w:tcPr>
          <w:p w14:paraId="1F5303E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6774014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7113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4E35DEE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787" w:type="pct"/>
            <w:noWrap w:val="0"/>
            <w:vAlign w:val="center"/>
          </w:tcPr>
          <w:p w14:paraId="5E7D9797">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2" w:type="pct"/>
            <w:noWrap w:val="0"/>
            <w:vAlign w:val="center"/>
          </w:tcPr>
          <w:p w14:paraId="34528AA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2C933DA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5D0C4C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w:t>
      </w:r>
    </w:p>
    <w:p w14:paraId="419887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医务人员数预计75人；</w:t>
      </w:r>
    </w:p>
    <w:p w14:paraId="12FF42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诊疗人数预计70449人；</w:t>
      </w:r>
    </w:p>
    <w:p w14:paraId="11BC6B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住院人次预计236人次；</w:t>
      </w:r>
    </w:p>
    <w:p w14:paraId="73D55D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白衣天使意外伤害保险预计75人；</w:t>
      </w:r>
    </w:p>
    <w:p w14:paraId="1FC68F8D">
      <w:pPr>
        <w:widowControl w:val="0"/>
        <w:numPr>
          <w:ilvl w:val="0"/>
          <w:numId w:val="0"/>
        </w:numPr>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新华路街道社区卫生服务中心保费测算：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06B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5880F84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投保险种</w:t>
            </w:r>
          </w:p>
          <w:p w14:paraId="36B8A9E8">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11F0777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累计责任限额</w:t>
            </w:r>
          </w:p>
        </w:tc>
        <w:tc>
          <w:tcPr>
            <w:tcW w:w="1282" w:type="pct"/>
            <w:noWrap w:val="0"/>
            <w:vAlign w:val="center"/>
          </w:tcPr>
          <w:p w14:paraId="0199C08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每次事故责任限额</w:t>
            </w:r>
          </w:p>
        </w:tc>
        <w:tc>
          <w:tcPr>
            <w:tcW w:w="1372" w:type="pct"/>
            <w:noWrap w:val="0"/>
            <w:vAlign w:val="center"/>
          </w:tcPr>
          <w:p w14:paraId="57A2121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每次事故每人赔偿限额</w:t>
            </w:r>
          </w:p>
        </w:tc>
      </w:tr>
      <w:tr w14:paraId="72BE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608D455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医疗责任险</w:t>
            </w:r>
          </w:p>
        </w:tc>
        <w:tc>
          <w:tcPr>
            <w:tcW w:w="787" w:type="pct"/>
            <w:noWrap w:val="0"/>
            <w:vAlign w:val="center"/>
          </w:tcPr>
          <w:p w14:paraId="5BA6C54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100万元</w:t>
            </w:r>
          </w:p>
        </w:tc>
        <w:tc>
          <w:tcPr>
            <w:tcW w:w="1282" w:type="pct"/>
            <w:noWrap w:val="0"/>
            <w:vAlign w:val="center"/>
          </w:tcPr>
          <w:p w14:paraId="6B6898A1">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372" w:type="pct"/>
            <w:noWrap w:val="0"/>
            <w:vAlign w:val="center"/>
          </w:tcPr>
          <w:p w14:paraId="3F413125">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r w14:paraId="00E1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5BF3979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白衣天使意外伤害保险</w:t>
            </w:r>
          </w:p>
        </w:tc>
        <w:tc>
          <w:tcPr>
            <w:tcW w:w="787" w:type="pct"/>
            <w:noWrap w:val="0"/>
            <w:vAlign w:val="center"/>
          </w:tcPr>
          <w:p w14:paraId="1DB56535">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意外身故、残疾给付：20万</w:t>
            </w:r>
          </w:p>
        </w:tc>
        <w:tc>
          <w:tcPr>
            <w:tcW w:w="1282" w:type="pct"/>
            <w:noWrap w:val="0"/>
            <w:vAlign w:val="center"/>
          </w:tcPr>
          <w:p w14:paraId="13A85A3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意外医疗费用补偿10000元，每次事故门、急诊限额：1000元，每次事故免赔额100元，给付比例80%。</w:t>
            </w:r>
          </w:p>
        </w:tc>
        <w:tc>
          <w:tcPr>
            <w:tcW w:w="1372" w:type="pct"/>
            <w:noWrap w:val="0"/>
            <w:vAlign w:val="center"/>
          </w:tcPr>
          <w:p w14:paraId="3B75DCA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意外住院津贴18000元，总给付日数：180日，每份每日津贴给付标准100元，每次最高给付津贴日数30日</w:t>
            </w:r>
          </w:p>
        </w:tc>
      </w:tr>
    </w:tbl>
    <w:p w14:paraId="30E4BE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w:t>
      </w:r>
    </w:p>
    <w:p w14:paraId="1BC4FE4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医务人员数预计7人；</w:t>
      </w:r>
    </w:p>
    <w:p w14:paraId="17C43D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诊疗人数预计2058人；</w:t>
      </w:r>
    </w:p>
    <w:p w14:paraId="4E5D81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白衣天使意外伤害保险预计7人；</w:t>
      </w:r>
    </w:p>
    <w:p w14:paraId="12FCF9F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7.南明区人民医院驻贵阳市公安局南明分局医务室保费测算：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3F9E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4D0BCE9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1EFE5BAB">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61515DB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2" w:type="pct"/>
            <w:noWrap w:val="0"/>
            <w:vAlign w:val="center"/>
          </w:tcPr>
          <w:p w14:paraId="535A8915">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536818F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7CB3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2842B23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787" w:type="pct"/>
            <w:noWrap w:val="0"/>
            <w:vAlign w:val="center"/>
          </w:tcPr>
          <w:p w14:paraId="6DFD6AB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2" w:type="pct"/>
            <w:noWrap w:val="0"/>
            <w:vAlign w:val="center"/>
          </w:tcPr>
          <w:p w14:paraId="3C58273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235D9AF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1C10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1F45CBF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白衣天使意外伤害保险（只包含1个医生）</w:t>
            </w:r>
          </w:p>
        </w:tc>
        <w:tc>
          <w:tcPr>
            <w:tcW w:w="787" w:type="pct"/>
            <w:noWrap w:val="0"/>
            <w:vAlign w:val="center"/>
          </w:tcPr>
          <w:p w14:paraId="6CB454C7">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2" w:type="pct"/>
            <w:noWrap w:val="0"/>
            <w:vAlign w:val="center"/>
          </w:tcPr>
          <w:p w14:paraId="095A48F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4715426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6745596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（五）服务内容及要求：</w:t>
      </w:r>
    </w:p>
    <w:p w14:paraId="1CA11559">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1.建立完善的投保服务体系：</w:t>
      </w:r>
      <w:bookmarkStart w:id="0" w:name="_Toc11466"/>
      <w:bookmarkStart w:id="1" w:name="_Toc14708417"/>
    </w:p>
    <w:p w14:paraId="79D14A6F">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承保机构提供上门服务，收集出单资料</w:t>
      </w:r>
      <w:bookmarkEnd w:id="0"/>
      <w:bookmarkEnd w:id="1"/>
      <w:r>
        <w:rPr>
          <w:rFonts w:hint="eastAsia" w:ascii="宋体" w:hAnsi="宋体" w:eastAsia="宋体" w:cs="宋体"/>
          <w:kern w:val="2"/>
          <w:sz w:val="24"/>
          <w:szCs w:val="24"/>
          <w:highlight w:val="none"/>
          <w:lang w:val="en-US" w:eastAsia="zh-CN" w:bidi="ar-SA"/>
        </w:rPr>
        <w:t>：相关服务人员上门对采购人提供的资料进行收集并提供咨询等服务</w:t>
      </w:r>
      <w:bookmarkStart w:id="2" w:name="_Toc14708418"/>
      <w:bookmarkStart w:id="3" w:name="_Toc15417"/>
      <w:r>
        <w:rPr>
          <w:rFonts w:hint="eastAsia" w:ascii="宋体" w:hAnsi="宋体" w:eastAsia="宋体" w:cs="宋体"/>
          <w:kern w:val="2"/>
          <w:sz w:val="24"/>
          <w:szCs w:val="24"/>
          <w:highlight w:val="none"/>
          <w:lang w:val="en-US" w:eastAsia="zh-CN" w:bidi="ar-SA"/>
        </w:rPr>
        <w:t>；协助采购人填写投保单</w:t>
      </w:r>
      <w:bookmarkEnd w:id="2"/>
      <w:bookmarkEnd w:id="3"/>
      <w:r>
        <w:rPr>
          <w:rFonts w:hint="eastAsia" w:ascii="宋体" w:hAnsi="宋体" w:eastAsia="宋体" w:cs="宋体"/>
          <w:kern w:val="2"/>
          <w:sz w:val="24"/>
          <w:szCs w:val="24"/>
          <w:highlight w:val="none"/>
          <w:lang w:val="en-US" w:eastAsia="zh-CN" w:bidi="ar-SA"/>
        </w:rPr>
        <w:t>：安排专人负责对接并制作投保单送至采购人，经采购人确认无误后办理承保服务。</w:t>
      </w:r>
    </w:p>
    <w:p w14:paraId="674177BA">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2.建立优质的理赔服务机制：</w:t>
      </w:r>
    </w:p>
    <w:p w14:paraId="6FF2A67E">
      <w:pPr>
        <w:widowControl w:val="0"/>
        <w:bidi w:val="0"/>
        <w:ind w:firstLine="480" w:firstLineChars="200"/>
        <w:jc w:val="both"/>
        <w:rPr>
          <w:ins w:id="0" w:author="大脸鬼。" w:date="2025-05-15T17:56:00Z"/>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承保机构应遵循“准确、主动、迅速、合理”原则，支持采购人医疗责任险项目优质发展：</w:t>
      </w:r>
    </w:p>
    <w:p w14:paraId="7FF5B4FD">
      <w:pPr>
        <w:widowControl w:val="0"/>
        <w:numPr>
          <w:ilvl w:val="0"/>
          <w:numId w:val="0"/>
        </w:numPr>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highlight w:val="none"/>
          <w:lang w:val="en-US" w:eastAsia="zh-CN" w:bidi="ar-SA"/>
        </w:rPr>
        <w:t>成立专项理赔小组，安排专职工作人员负责采购人承保及理赔事宜；</w:t>
      </w:r>
    </w:p>
    <w:p w14:paraId="49C41663">
      <w:pPr>
        <w:widowControl w:val="0"/>
        <w:numPr>
          <w:ilvl w:val="0"/>
          <w:numId w:val="0"/>
        </w:numPr>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highlight w:val="none"/>
          <w:lang w:val="en-US" w:eastAsia="zh-CN" w:bidi="ar-SA"/>
        </w:rPr>
        <w:t>提供365天*24小时报案、服务专员电话报案、微信等多渠道报案途径。</w:t>
      </w:r>
    </w:p>
    <w:p w14:paraId="246CDA42">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3.快速出险：</w:t>
      </w:r>
    </w:p>
    <w:p w14:paraId="475F551B">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承保机构在接到出险报案电话后，需尽快调派离出险地点最近的服务人员，以最短时间、最快的速度赶赴事故现场进行查勘处理和救援服务：市区60分钟以内到达现场。并协助被保险人填写索赔单证，同时鉴于医疗责任险事故发生的特点，在立即进行人员救治的同时向承保机构报案并保留与事故有关的相关资料。</w:t>
      </w:r>
    </w:p>
    <w:p w14:paraId="2F307C8D">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（2）如因不可抗力原因或其他特殊原因，服务人员无法按上述规定时间及时到达出险现场，可根据案件情况，安排当事人配合先行处理，并保留与事故有关的相关资料，以便服务人员核定损失。</w:t>
      </w:r>
    </w:p>
    <w:p w14:paraId="251A48E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（3）对于承保机构未进行现场查勘但授权采购人自行处理的事故，采购人只需按理赔需知提供其他资料，承保机构将以此作为理赔依据，并合理核定损失，不得以此为借口拒不落实承保责任。 </w:t>
      </w:r>
    </w:p>
    <w:p w14:paraId="243477A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4.上门收取理赔材料及审核：</w:t>
      </w:r>
    </w:p>
    <w:p w14:paraId="79FDF2D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承保机构应安排专人上门收取索赔案件资料，并对收到的索赔材料进行审核，</w:t>
      </w:r>
      <w:r>
        <w:rPr>
          <w:rFonts w:hint="eastAsia" w:ascii="宋体" w:hAnsi="宋体" w:eastAsia="宋体" w:cs="宋体"/>
          <w:kern w:val="2"/>
          <w:sz w:val="24"/>
          <w:szCs w:val="24"/>
          <w:highlight w:val="none"/>
          <w:lang w:bidi="ar-SA"/>
        </w:rPr>
        <w:t>协助完善保险</w:t>
      </w:r>
      <w:r>
        <w:rPr>
          <w:rFonts w:hint="eastAsia" w:ascii="宋体" w:hAnsi="宋体" w:eastAsia="宋体" w:cs="宋体"/>
          <w:kern w:val="2"/>
          <w:sz w:val="24"/>
          <w:szCs w:val="24"/>
          <w:highlight w:val="none"/>
          <w:lang w:val="en-US" w:eastAsia="zh-CN" w:bidi="ar-SA"/>
        </w:rPr>
        <w:t>理</w:t>
      </w:r>
      <w:r>
        <w:rPr>
          <w:rFonts w:hint="eastAsia" w:ascii="宋体" w:hAnsi="宋体" w:eastAsia="宋体" w:cs="宋体"/>
          <w:kern w:val="2"/>
          <w:sz w:val="24"/>
          <w:szCs w:val="24"/>
          <w:highlight w:val="none"/>
          <w:lang w:bidi="ar-SA"/>
        </w:rPr>
        <w:t>赔资料后报备相关部门，</w:t>
      </w:r>
      <w:r>
        <w:rPr>
          <w:rFonts w:hint="eastAsia" w:ascii="宋体" w:hAnsi="宋体" w:eastAsia="宋体" w:cs="宋体"/>
          <w:kern w:val="2"/>
          <w:sz w:val="24"/>
          <w:szCs w:val="24"/>
          <w:highlight w:val="none"/>
          <w:lang w:val="en-US" w:eastAsia="zh-CN" w:bidi="ar-SA"/>
        </w:rPr>
        <w:t>如理</w:t>
      </w:r>
      <w:r>
        <w:rPr>
          <w:rFonts w:hint="eastAsia" w:ascii="宋体" w:hAnsi="宋体" w:eastAsia="宋体" w:cs="宋体"/>
          <w:kern w:val="2"/>
          <w:sz w:val="24"/>
          <w:szCs w:val="24"/>
          <w:highlight w:val="none"/>
          <w:lang w:bidi="ar-SA"/>
        </w:rPr>
        <w:t>赔材料不完整的情况下</w:t>
      </w:r>
      <w:r>
        <w:rPr>
          <w:rFonts w:hint="eastAsia" w:ascii="宋体" w:hAnsi="宋体" w:eastAsia="宋体" w:cs="宋体"/>
          <w:kern w:val="2"/>
          <w:sz w:val="24"/>
          <w:szCs w:val="24"/>
          <w:highlight w:val="none"/>
          <w:lang w:val="en-US" w:eastAsia="zh-CN" w:bidi="ar-SA"/>
        </w:rPr>
        <w:t>承保机构应</w:t>
      </w:r>
      <w:r>
        <w:rPr>
          <w:rFonts w:hint="eastAsia" w:ascii="宋体" w:hAnsi="宋体" w:eastAsia="宋体" w:cs="宋体"/>
          <w:kern w:val="2"/>
          <w:sz w:val="24"/>
          <w:szCs w:val="24"/>
          <w:highlight w:val="none"/>
          <w:lang w:bidi="ar-SA"/>
        </w:rPr>
        <w:t>按</w:t>
      </w:r>
      <w:r>
        <w:rPr>
          <w:rFonts w:hint="eastAsia" w:ascii="宋体" w:hAnsi="宋体" w:eastAsia="宋体" w:cs="宋体"/>
          <w:kern w:val="2"/>
          <w:sz w:val="24"/>
          <w:szCs w:val="24"/>
          <w:highlight w:val="none"/>
          <w:lang w:val="en-US" w:eastAsia="zh-CN" w:bidi="ar-SA"/>
        </w:rPr>
        <w:t>理</w:t>
      </w:r>
      <w:r>
        <w:rPr>
          <w:rFonts w:hint="eastAsia" w:ascii="宋体" w:hAnsi="宋体" w:eastAsia="宋体" w:cs="宋体"/>
          <w:kern w:val="2"/>
          <w:sz w:val="24"/>
          <w:szCs w:val="24"/>
          <w:highlight w:val="none"/>
          <w:lang w:bidi="ar-SA"/>
        </w:rPr>
        <w:t>赔资料清单列明要求</w:t>
      </w:r>
      <w:r>
        <w:rPr>
          <w:rFonts w:hint="eastAsia" w:ascii="宋体" w:hAnsi="宋体" w:eastAsia="宋体" w:cs="宋体"/>
          <w:kern w:val="2"/>
          <w:sz w:val="24"/>
          <w:szCs w:val="24"/>
          <w:highlight w:val="none"/>
          <w:lang w:val="en-US" w:eastAsia="zh-CN" w:bidi="ar-SA"/>
        </w:rPr>
        <w:t>采购人相关人员</w:t>
      </w:r>
      <w:r>
        <w:rPr>
          <w:rFonts w:hint="eastAsia" w:ascii="宋体" w:hAnsi="宋体" w:eastAsia="宋体" w:cs="宋体"/>
          <w:kern w:val="2"/>
          <w:sz w:val="24"/>
          <w:szCs w:val="24"/>
          <w:highlight w:val="none"/>
          <w:lang w:bidi="ar-SA"/>
        </w:rPr>
        <w:t>补充材料直至资料完整</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并在3个工作日内向投保人反馈是否立案以及是否需要补充提供证明材料。对决定拒赔或者不予立案的，出具正式的书面拒赔通知书。</w:t>
      </w:r>
    </w:p>
    <w:p w14:paraId="3DDDE80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5.建立案件追踪及回访制度：</w:t>
      </w:r>
    </w:p>
    <w:p w14:paraId="054D74D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承保机构应每月就未结案件对采购人进行回访，了解案件进展情况并指导采购人进行下一步处理工作；对损失较大的人伤案件，派出医疗跟踪小组对伤者进行回访跟踪。</w:t>
      </w:r>
    </w:p>
    <w:p w14:paraId="0F5CE3BD">
      <w:pPr>
        <w:widowControl w:val="0"/>
        <w:bidi w:val="0"/>
        <w:ind w:firstLine="480" w:firstLineChars="200"/>
        <w:jc w:val="both"/>
        <w:rPr>
          <w:rFonts w:hint="eastAsia" w:ascii="宋体" w:hAnsi="宋体" w:eastAsia="宋体" w:cs="宋体"/>
          <w:kern w:val="2"/>
          <w:sz w:val="24"/>
          <w:szCs w:val="24"/>
          <w:highlight w:val="none"/>
          <w:lang w:val="en-US" w:eastAsia="zh-CN" w:bidi="ar-SA"/>
        </w:rPr>
      </w:pPr>
      <w:bookmarkStart w:id="4" w:name="_Toc9709"/>
      <w:bookmarkStart w:id="5" w:name="_Toc48609886"/>
      <w:bookmarkStart w:id="6" w:name="_Toc48609478"/>
      <w:r>
        <w:rPr>
          <w:rFonts w:hint="eastAsia" w:ascii="宋体" w:hAnsi="宋体" w:eastAsia="宋体" w:cs="宋体"/>
          <w:kern w:val="2"/>
          <w:sz w:val="24"/>
          <w:szCs w:val="24"/>
          <w:highlight w:val="none"/>
          <w:lang w:val="en-US" w:eastAsia="zh-CN" w:bidi="ar-SA"/>
        </w:rPr>
        <w:t>6.支付赔款：</w:t>
      </w:r>
      <w:bookmarkEnd w:id="4"/>
      <w:bookmarkEnd w:id="5"/>
      <w:bookmarkEnd w:id="6"/>
    </w:p>
    <w:p w14:paraId="0EE4BF1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承保机构按照约定支付方式、赔款金额和时限支付赔款至医院或者患者及患者家属。如遇重（特）大伤亡事故或卫健系统认定的重（特）大伤亡事故时，承保机构应先行垫付。</w:t>
      </w:r>
    </w:p>
    <w:p w14:paraId="66DF4C69">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7.服务人员考核机制：</w:t>
      </w:r>
    </w:p>
    <w:p w14:paraId="5F2A24D3">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定期对服务人员进行考核，建立完善的考核机制，对承保机构指定的服务人员采购人拥有“一票否决权”，服务人员服务态度应良好，具备良好的沟通能力、协调能力、保险及法律相关专业知识、医疗卫生行业基础知识，熟悉采购人承保险种的范围、界定及释义。</w:t>
      </w:r>
    </w:p>
    <w:p w14:paraId="1A429009">
      <w:pPr>
        <w:pStyle w:val="15"/>
        <w:rPr>
          <w:rFonts w:hint="eastAsia" w:ascii="宋体" w:hAnsi="宋体" w:eastAsia="宋体" w:cs="宋体"/>
          <w:color w:val="auto"/>
          <w:kern w:val="1"/>
          <w:sz w:val="20"/>
          <w:szCs w:val="20"/>
          <w:highlight w:val="none"/>
          <w:lang w:val="en-US" w:eastAsia="zh-CN" w:bidi="ar-SA"/>
        </w:rPr>
        <w:sectPr>
          <w:pgSz w:w="11906" w:h="16838"/>
          <w:pgMar w:top="1531" w:right="1418" w:bottom="1361" w:left="1418" w:header="720" w:footer="720" w:gutter="0"/>
          <w:pgNumType w:fmt="decimal"/>
          <w:cols w:space="720" w:num="1"/>
          <w:rtlGutter w:val="0"/>
          <w:docGrid w:linePitch="285" w:charSpace="0"/>
        </w:sectPr>
      </w:pPr>
    </w:p>
    <w:p w14:paraId="577BF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Times New Roman" w:eastAsia="宋体" w:cs="宋体"/>
          <w:b/>
          <w:bCs w:val="0"/>
          <w:color w:val="auto"/>
          <w:kern w:val="1"/>
          <w:sz w:val="24"/>
          <w:szCs w:val="21"/>
          <w:highlight w:val="none"/>
          <w:lang w:val="en-US" w:eastAsia="zh-CN" w:bidi="ar-SA"/>
        </w:rPr>
      </w:pPr>
      <w:r>
        <w:rPr>
          <w:rFonts w:hint="eastAsia" w:ascii="宋体" w:hAnsi="宋体" w:eastAsia="宋体" w:cs="宋体"/>
          <w:b/>
          <w:bCs w:val="0"/>
          <w:color w:val="auto"/>
          <w:kern w:val="1"/>
          <w:sz w:val="28"/>
          <w:szCs w:val="32"/>
          <w:highlight w:val="none"/>
          <w:lang w:val="en-US" w:eastAsia="zh-CN" w:bidi="ar-SA"/>
        </w:rPr>
        <w:t>采购实施计划</w:t>
      </w:r>
    </w:p>
    <w:p w14:paraId="2B90E07B">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一、合同订立与安排</w:t>
      </w:r>
    </w:p>
    <w:p w14:paraId="006C0201">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（一）采购项目预（概）算，最高限价（总价）1000000.00元；</w:t>
      </w:r>
    </w:p>
    <w:p w14:paraId="31C2FB67">
      <w:pPr>
        <w:widowControl w:val="0"/>
        <w:bidi w:val="0"/>
        <w:ind w:firstLine="480" w:firstLineChars="200"/>
        <w:jc w:val="both"/>
        <w:rPr>
          <w:rFonts w:hint="default"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（二）采购实施时间：2025年</w:t>
      </w:r>
      <w:r>
        <w:rPr>
          <w:rFonts w:hint="eastAsia" w:ascii="宋体" w:eastAsia="宋体" w:cs="宋体"/>
          <w:color w:val="auto"/>
          <w:kern w:val="1"/>
          <w:sz w:val="24"/>
          <w:szCs w:val="21"/>
          <w:highlight w:val="none"/>
          <w:lang w:val="en-US" w:eastAsia="zh-CN" w:bidi="ar-SA"/>
        </w:rPr>
        <w:t>8</w:t>
      </w:r>
      <w:bookmarkStart w:id="7" w:name="_GoBack"/>
      <w:bookmarkEnd w:id="7"/>
      <w:r>
        <w:rPr>
          <w:rFonts w:hint="eastAsia" w:ascii="宋体" w:hAnsi="Times New Roman" w:eastAsia="宋体" w:cs="宋体"/>
          <w:color w:val="auto"/>
          <w:kern w:val="1"/>
          <w:sz w:val="24"/>
          <w:szCs w:val="21"/>
          <w:highlight w:val="none"/>
          <w:lang w:val="en-US" w:eastAsia="zh-CN" w:bidi="ar-SA"/>
        </w:rPr>
        <w:t>月</w:t>
      </w:r>
    </w:p>
    <w:p w14:paraId="5FEAB952">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（三）采购组织形式：</w:t>
      </w:r>
    </w:p>
    <w:p w14:paraId="2D3D51C5">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 xml:space="preserve">集中采购 </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分散采购</w:t>
      </w:r>
      <w:r>
        <w:rPr>
          <w:rFonts w:hint="eastAsia" w:ascii="宋体" w:hAnsi="Times New Roman" w:eastAsia="宋体" w:cs="宋体"/>
          <w:color w:val="auto"/>
          <w:kern w:val="1"/>
          <w:sz w:val="24"/>
          <w:szCs w:val="21"/>
          <w:highlight w:val="none"/>
          <w:lang w:val="en-US" w:eastAsia="zh-CN" w:bidi="ar-SA"/>
        </w:rPr>
        <w:sym w:font="Wingdings" w:char="00FE"/>
      </w:r>
      <w:r>
        <w:rPr>
          <w:rFonts w:hint="eastAsia" w:ascii="宋体" w:hAnsi="Times New Roman" w:eastAsia="宋体" w:cs="宋体"/>
          <w:color w:val="auto"/>
          <w:kern w:val="1"/>
          <w:sz w:val="24"/>
          <w:szCs w:val="21"/>
          <w:highlight w:val="none"/>
          <w:lang w:val="en-US" w:eastAsia="zh-CN" w:bidi="ar-SA"/>
        </w:rPr>
        <w:t xml:space="preserve"> 自行采购</w:t>
      </w:r>
      <w:r>
        <w:rPr>
          <w:rFonts w:hint="eastAsia" w:ascii="宋体" w:hAnsi="Times New Roman" w:eastAsia="宋体" w:cs="宋体"/>
          <w:color w:val="auto"/>
          <w:kern w:val="1"/>
          <w:sz w:val="24"/>
          <w:szCs w:val="21"/>
          <w:highlight w:val="none"/>
          <w:lang w:val="en-US" w:eastAsia="zh-CN" w:bidi="ar-SA"/>
        </w:rPr>
        <w:sym w:font="Wingdings" w:char="00A8"/>
      </w:r>
    </w:p>
    <w:p w14:paraId="782E1AC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（四）委托代理机构安排：贵州新山水建设咨询（集团）有限公司</w:t>
      </w:r>
    </w:p>
    <w:p w14:paraId="714A96DB">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（五）采购包划分和合同分包：本项目不允许分包。</w:t>
      </w:r>
    </w:p>
    <w:p w14:paraId="20DA63B1">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（六）采购方式：</w:t>
      </w:r>
    </w:p>
    <w:p w14:paraId="1778293C">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公开招标</w:t>
      </w:r>
      <w:r>
        <w:rPr>
          <w:rFonts w:hint="eastAsia" w:ascii="宋体" w:hAnsi="Times New Roman" w:eastAsia="宋体" w:cs="宋体"/>
          <w:color w:val="auto"/>
          <w:kern w:val="1"/>
          <w:sz w:val="24"/>
          <w:szCs w:val="21"/>
          <w:highlight w:val="none"/>
          <w:lang w:val="en-US" w:eastAsia="zh-CN" w:bidi="ar-SA"/>
        </w:rPr>
        <w:sym w:font="Wingdings" w:char="00FE"/>
      </w:r>
      <w:r>
        <w:rPr>
          <w:rFonts w:hint="eastAsia" w:ascii="宋体" w:hAnsi="Times New Roman" w:eastAsia="宋体" w:cs="宋体"/>
          <w:color w:val="auto"/>
          <w:kern w:val="1"/>
          <w:sz w:val="24"/>
          <w:szCs w:val="21"/>
          <w:highlight w:val="none"/>
          <w:lang w:val="en-US" w:eastAsia="zh-CN" w:bidi="ar-SA"/>
        </w:rPr>
        <w:t xml:space="preserve"> 邀请招标</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竞争性谈判 </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竞争性磋商</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询价</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单一来源</w:t>
      </w:r>
      <w:r>
        <w:rPr>
          <w:rFonts w:hint="eastAsia" w:ascii="宋体" w:hAnsi="Times New Roman" w:eastAsia="宋体" w:cs="宋体"/>
          <w:color w:val="auto"/>
          <w:kern w:val="1"/>
          <w:sz w:val="24"/>
          <w:szCs w:val="21"/>
          <w:highlight w:val="none"/>
          <w:lang w:val="en-US" w:eastAsia="zh-CN" w:bidi="ar-SA"/>
        </w:rPr>
        <w:sym w:font="Wingdings" w:char="00A8"/>
      </w:r>
    </w:p>
    <w:p w14:paraId="3CF3AC4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（七）供应商资格条件</w:t>
      </w:r>
    </w:p>
    <w:p w14:paraId="2FE5B6C8">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1.具有独立承担民事责任的能力：提供法人或其他组织的营业执照等证明文件，或自然人身份证明（复印件（扫描件）加盖公章）；</w:t>
      </w:r>
    </w:p>
    <w:p w14:paraId="75C2B14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2.具有良好的商业信誉和健全的财务会计制度：</w:t>
      </w:r>
    </w:p>
    <w:p w14:paraId="40DC27AF">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具体要求：供应商是法人的提供2023年度或2024年度经第三方会计师事务所出具的审计报告（含资产负债表、利润表、现金流量表和财务报表附注，审计报告应盖有会计师事务所单位章和注册会计师的执业专用章，并附会计师事务所的营业执照及执业证书）或提供基本开户银行在开标时间前一个月内出具的资信证明（须提供基本存款账户信息），部分其他组织和自然人，没有经审计的财务报告，可提供银行在开标时间前一个月内出具的资信证明；</w:t>
      </w:r>
    </w:p>
    <w:p w14:paraId="7BD47B78">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3.具有履行合同所必需的设备和专业技术能力：</w:t>
      </w:r>
    </w:p>
    <w:p w14:paraId="0300302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具体要求：提供具备履行合同所必需的设备和专业技术能力的证明材料（提供承诺，格式自拟）；</w:t>
      </w:r>
    </w:p>
    <w:p w14:paraId="7C0184D4">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4.具有依法缴纳税收和社会保障资金的良好记录：</w:t>
      </w:r>
    </w:p>
    <w:p w14:paraId="5AC6F0D1">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具体要求：供应商是法人的提供2024年6月至投标截止时间任意3个月依法缴纳税收和社会保障资金的有效证明材料，成立不满3个月的公司提供成立以来的依法缴纳税收和社会保障资金的证明材料；无需缴纳税收及社会保障资金的投标供应商须提供相应证明文件加盖投标单位公章；</w:t>
      </w:r>
    </w:p>
    <w:p w14:paraId="3E6BBD87">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5.参加本次政府采购活动前三年内，在经营活动中没有违法违规记录：</w:t>
      </w:r>
    </w:p>
    <w:p w14:paraId="6536799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提供参加政府采购活动前3年内在经营活动中没有重大违法记录的书面声明（格式文件详见投标文件范本）；</w:t>
      </w:r>
    </w:p>
    <w:p w14:paraId="77901587">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6.法律、行政法规规定的其他条件：</w:t>
      </w:r>
    </w:p>
    <w:p w14:paraId="19615C95">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761678B6">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3CBED9E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II：本项目所需特殊行业资质或要求</w:t>
      </w:r>
    </w:p>
    <w:p w14:paraId="238E304C">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sz w:val="24"/>
          <w:szCs w:val="21"/>
          <w:highlight w:val="none"/>
          <w:lang w:eastAsia="zh-CN"/>
        </w:rPr>
      </w:pPr>
      <w:r>
        <w:rPr>
          <w:rFonts w:hint="eastAsia" w:ascii="宋体" w:hAnsi="Times New Roman" w:eastAsia="宋体" w:cs="宋体"/>
          <w:color w:val="auto"/>
          <w:kern w:val="1"/>
          <w:sz w:val="24"/>
          <w:szCs w:val="21"/>
          <w:highlight w:val="none"/>
          <w:lang w:val="en-US" w:eastAsia="zh-CN" w:bidi="ar-SA"/>
        </w:rPr>
        <w:t>(1)</w:t>
      </w:r>
      <w:r>
        <w:rPr>
          <w:rFonts w:hint="eastAsia" w:ascii="宋体" w:hAnsi="Times New Roman" w:eastAsia="宋体" w:cs="宋体"/>
          <w:color w:val="auto"/>
          <w:sz w:val="24"/>
          <w:szCs w:val="21"/>
          <w:highlight w:val="none"/>
          <w:lang w:val="en-US" w:eastAsia="zh-CN"/>
        </w:rPr>
        <w:t>在中国保险监督委员会注册登记</w:t>
      </w:r>
      <w:r>
        <w:rPr>
          <w:rFonts w:hint="eastAsia" w:ascii="宋体" w:hAnsi="Times New Roman" w:eastAsia="宋体" w:cs="宋体"/>
          <w:color w:val="auto"/>
          <w:sz w:val="24"/>
          <w:szCs w:val="21"/>
          <w:highlight w:val="none"/>
          <w:lang w:eastAsia="zh-CN"/>
        </w:rPr>
        <w:t>的</w:t>
      </w:r>
      <w:r>
        <w:rPr>
          <w:rFonts w:hint="eastAsia" w:ascii="宋体" w:hAnsi="Times New Roman" w:eastAsia="宋体" w:cs="宋体"/>
          <w:color w:val="auto"/>
          <w:sz w:val="24"/>
          <w:szCs w:val="21"/>
          <w:highlight w:val="none"/>
          <w:lang w:val="en-US" w:eastAsia="zh-CN"/>
        </w:rPr>
        <w:t>正规保险机构，且具有《经营保险业务许可证》（须包含经营本项目相关险种保险业务资格）</w:t>
      </w:r>
      <w:r>
        <w:rPr>
          <w:rFonts w:hint="eastAsia" w:ascii="宋体" w:hAnsi="Times New Roman" w:eastAsia="宋体" w:cs="宋体"/>
          <w:color w:val="auto"/>
          <w:sz w:val="24"/>
          <w:szCs w:val="21"/>
          <w:highlight w:val="none"/>
          <w:lang w:eastAsia="zh-CN"/>
        </w:rPr>
        <w:t>。</w:t>
      </w:r>
    </w:p>
    <w:p w14:paraId="5FB83DE9">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sz w:val="24"/>
          <w:szCs w:val="21"/>
          <w:highlight w:val="none"/>
          <w:lang w:eastAsia="zh-CN"/>
        </w:rPr>
      </w:pPr>
      <w:r>
        <w:rPr>
          <w:rFonts w:hint="eastAsia" w:ascii="宋体" w:hAnsi="Times New Roman" w:eastAsia="宋体" w:cs="宋体"/>
          <w:color w:val="auto"/>
          <w:kern w:val="1"/>
          <w:sz w:val="24"/>
          <w:szCs w:val="21"/>
          <w:highlight w:val="none"/>
          <w:lang w:val="en-US" w:eastAsia="zh-CN" w:bidi="ar-SA"/>
        </w:rPr>
        <w:t>(2)</w:t>
      </w:r>
      <w:r>
        <w:rPr>
          <w:rFonts w:hint="eastAsia" w:ascii="宋体" w:hAnsi="Times New Roman" w:eastAsia="宋体" w:cs="宋体"/>
          <w:color w:val="auto"/>
          <w:sz w:val="24"/>
          <w:szCs w:val="21"/>
          <w:highlight w:val="none"/>
          <w:lang w:eastAsia="zh-CN"/>
        </w:rPr>
        <w:t>本项目允许下属分公司（分支机构）参与，须提供总公司的有关文件能证明其独立开展业务或提供总公司出具的授权其参与本项目采购的相关文件；同一个保险主体仅允许一家机构参与，如出现两家及以上机构参加的，其响应均无效。</w:t>
      </w:r>
    </w:p>
    <w:p w14:paraId="49E9AB7A">
      <w:pPr>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color w:val="auto"/>
          <w:kern w:val="0"/>
          <w:sz w:val="24"/>
          <w:szCs w:val="24"/>
          <w:highlight w:val="none"/>
          <w:lang w:val="en-US" w:eastAsia="zh-CN" w:bidi="ar"/>
        </w:rPr>
      </w:pPr>
      <w:r>
        <w:rPr>
          <w:rFonts w:hint="eastAsia" w:ascii="宋体" w:hAnsi="Times New Roman" w:eastAsia="宋体" w:cs="宋体"/>
          <w:color w:val="auto"/>
          <w:kern w:val="1"/>
          <w:sz w:val="24"/>
          <w:szCs w:val="21"/>
          <w:highlight w:val="none"/>
          <w:lang w:val="en-US" w:eastAsia="zh-CN" w:bidi="ar-SA"/>
        </w:rPr>
        <w:t>III：</w:t>
      </w:r>
      <w:r>
        <w:rPr>
          <w:rFonts w:hint="default" w:ascii="宋体" w:hAnsi="Times New Roman" w:eastAsia="宋体" w:cs="宋体"/>
          <w:color w:val="auto"/>
          <w:kern w:val="1"/>
          <w:sz w:val="24"/>
          <w:szCs w:val="21"/>
          <w:highlight w:val="none"/>
          <w:lang w:val="en-US" w:eastAsia="zh-CN" w:bidi="ar-SA"/>
        </w:rPr>
        <w:t>本项目</w:t>
      </w:r>
      <w:r>
        <w:rPr>
          <w:rFonts w:hint="eastAsia" w:ascii="宋体" w:hAnsi="Times New Roman" w:eastAsia="宋体" w:cs="宋体"/>
          <w:b/>
          <w:bCs/>
          <w:color w:val="auto"/>
          <w:kern w:val="1"/>
          <w:sz w:val="24"/>
          <w:szCs w:val="21"/>
          <w:highlight w:val="none"/>
          <w:u w:val="single"/>
          <w:lang w:val="en-US" w:eastAsia="zh-CN" w:bidi="ar-SA"/>
        </w:rPr>
        <w:t xml:space="preserve"> 不</w:t>
      </w:r>
      <w:r>
        <w:rPr>
          <w:rFonts w:hint="default" w:ascii="宋体" w:hAnsi="Times New Roman" w:eastAsia="宋体" w:cs="宋体"/>
          <w:b/>
          <w:bCs/>
          <w:color w:val="auto"/>
          <w:kern w:val="1"/>
          <w:sz w:val="24"/>
          <w:szCs w:val="21"/>
          <w:highlight w:val="none"/>
          <w:u w:val="single"/>
          <w:lang w:val="en-US" w:eastAsia="zh-CN" w:bidi="ar-SA"/>
        </w:rPr>
        <w:t>接受</w:t>
      </w:r>
      <w:r>
        <w:rPr>
          <w:rFonts w:hint="eastAsia" w:ascii="宋体" w:hAnsi="Times New Roman" w:eastAsia="宋体" w:cs="宋体"/>
          <w:color w:val="auto"/>
          <w:kern w:val="1"/>
          <w:sz w:val="24"/>
          <w:szCs w:val="21"/>
          <w:highlight w:val="none"/>
          <w:u w:val="single"/>
          <w:lang w:val="en-US" w:eastAsia="zh-CN" w:bidi="ar-SA"/>
        </w:rPr>
        <w:t xml:space="preserve"> </w:t>
      </w:r>
      <w:r>
        <w:rPr>
          <w:rFonts w:hint="default" w:ascii="宋体" w:hAnsi="Times New Roman" w:eastAsia="宋体" w:cs="宋体"/>
          <w:color w:val="auto"/>
          <w:kern w:val="1"/>
          <w:sz w:val="24"/>
          <w:szCs w:val="21"/>
          <w:highlight w:val="none"/>
          <w:lang w:val="en-US" w:eastAsia="zh-CN" w:bidi="ar-SA"/>
        </w:rPr>
        <w:t>联合体投标</w:t>
      </w:r>
      <w:r>
        <w:rPr>
          <w:rFonts w:hint="eastAsia" w:ascii="宋体" w:hAnsi="Times New Roman" w:eastAsia="宋体" w:cs="宋体"/>
          <w:color w:val="auto"/>
          <w:kern w:val="1"/>
          <w:sz w:val="24"/>
          <w:szCs w:val="21"/>
          <w:highlight w:val="none"/>
          <w:lang w:val="en-US" w:eastAsia="zh-CN" w:bidi="ar-SA"/>
        </w:rPr>
        <w:t>,联合体要求：</w:t>
      </w:r>
    </w:p>
    <w:p w14:paraId="15D9109F">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default" w:ascii="宋体" w:hAnsi="Times New Roman" w:eastAsia="宋体" w:cs="宋体"/>
          <w:color w:val="auto"/>
          <w:kern w:val="1"/>
          <w:sz w:val="24"/>
          <w:szCs w:val="21"/>
          <w:highlight w:val="none"/>
          <w:lang w:val="en-US" w:eastAsia="zh-CN" w:bidi="ar-SA"/>
        </w:rPr>
        <w:t>IV：本项目</w:t>
      </w:r>
      <w:r>
        <w:rPr>
          <w:rFonts w:hint="eastAsia" w:ascii="宋体" w:hAnsi="Times New Roman" w:eastAsia="宋体" w:cs="宋体"/>
          <w:color w:val="auto"/>
          <w:kern w:val="1"/>
          <w:sz w:val="24"/>
          <w:szCs w:val="21"/>
          <w:highlight w:val="none"/>
          <w:lang w:val="en-US" w:eastAsia="zh-CN" w:bidi="ar-SA"/>
        </w:rPr>
        <w:t>是否</w:t>
      </w:r>
      <w:r>
        <w:rPr>
          <w:rFonts w:hint="default" w:ascii="宋体" w:hAnsi="Times New Roman" w:eastAsia="宋体" w:cs="宋体"/>
          <w:color w:val="auto"/>
          <w:kern w:val="1"/>
          <w:sz w:val="24"/>
          <w:szCs w:val="21"/>
          <w:highlight w:val="none"/>
          <w:lang w:val="en-US" w:eastAsia="zh-CN" w:bidi="ar-SA"/>
        </w:rPr>
        <w:t>专门面向中小企业</w:t>
      </w:r>
      <w:r>
        <w:rPr>
          <w:rFonts w:hint="eastAsia" w:ascii="宋体" w:hAnsi="Times New Roman" w:eastAsia="宋体" w:cs="宋体"/>
          <w:color w:val="auto"/>
          <w:kern w:val="1"/>
          <w:sz w:val="24"/>
          <w:szCs w:val="21"/>
          <w:highlight w:val="none"/>
          <w:lang w:val="en-US" w:eastAsia="zh-CN" w:bidi="ar-SA"/>
        </w:rPr>
        <w:t>：否，其他未列明行业。</w:t>
      </w:r>
    </w:p>
    <w:p w14:paraId="617AFD23">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sz w:val="24"/>
          <w:highlight w:val="none"/>
          <w:lang w:eastAsia="zh-CN"/>
        </w:rPr>
      </w:pPr>
      <w:r>
        <w:rPr>
          <w:rFonts w:hint="default" w:ascii="宋体" w:hAnsi="Times New Roman" w:eastAsia="宋体" w:cs="宋体"/>
          <w:color w:val="auto"/>
          <w:kern w:val="1"/>
          <w:sz w:val="24"/>
          <w:szCs w:val="21"/>
          <w:highlight w:val="none"/>
          <w:lang w:val="en-US" w:eastAsia="zh-CN" w:bidi="ar-SA"/>
        </w:rPr>
        <w:t>V：</w:t>
      </w:r>
      <w:r>
        <w:rPr>
          <w:rFonts w:hint="eastAsia" w:ascii="Times New Roman" w:hAnsi="Times New Roman" w:eastAsia="宋体" w:cs="Times New Roman"/>
          <w:color w:val="auto"/>
          <w:sz w:val="24"/>
          <w:highlight w:val="none"/>
          <w:lang w:eastAsia="zh-CN"/>
        </w:rPr>
        <w:t>政府采购政策</w:t>
      </w:r>
      <w:r>
        <w:rPr>
          <w:rFonts w:hint="eastAsia" w:ascii="Times New Roman" w:hAnsi="Times New Roman" w:eastAsia="宋体" w:cs="Times New Roman"/>
          <w:color w:val="auto"/>
          <w:sz w:val="24"/>
          <w:highlight w:val="none"/>
          <w:lang w:val="en-US" w:eastAsia="zh-CN"/>
        </w:rPr>
        <w:t>落实情况</w:t>
      </w:r>
      <w:r>
        <w:rPr>
          <w:rFonts w:hint="eastAsia" w:ascii="Times New Roman" w:hAnsi="Times New Roman" w:eastAsia="宋体" w:cs="Times New Roman"/>
          <w:color w:val="auto"/>
          <w:sz w:val="24"/>
          <w:highlight w:val="none"/>
          <w:lang w:eastAsia="zh-CN"/>
        </w:rPr>
        <w:t>：</w:t>
      </w:r>
    </w:p>
    <w:p w14:paraId="1B5FAA9A">
      <w:pPr>
        <w:pStyle w:val="6"/>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default" w:ascii="宋体" w:hAnsi="Times New Roman" w:eastAsia="宋体" w:cs="宋体"/>
          <w:color w:val="auto"/>
          <w:kern w:val="1"/>
          <w:sz w:val="24"/>
          <w:szCs w:val="21"/>
          <w:highlight w:val="none"/>
          <w:lang w:val="en-US" w:eastAsia="zh-CN" w:bidi="ar-SA"/>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w:t>
      </w:r>
      <w:r>
        <w:rPr>
          <w:rFonts w:hint="eastAsia" w:ascii="宋体" w:hAnsi="Times New Roman" w:eastAsia="宋体" w:cs="宋体"/>
          <w:color w:val="auto"/>
          <w:kern w:val="1"/>
          <w:sz w:val="24"/>
          <w:szCs w:val="21"/>
          <w:highlight w:val="none"/>
          <w:lang w:val="en-US" w:eastAsia="zh-CN" w:bidi="ar-SA"/>
        </w:rPr>
        <w:t>10</w:t>
      </w:r>
      <w:r>
        <w:rPr>
          <w:rFonts w:hint="default" w:ascii="宋体" w:hAnsi="Times New Roman" w:eastAsia="宋体" w:cs="宋体"/>
          <w:color w:val="auto"/>
          <w:kern w:val="1"/>
          <w:sz w:val="24"/>
          <w:szCs w:val="21"/>
          <w:highlight w:val="none"/>
          <w:lang w:val="en-US" w:eastAsia="zh-CN" w:bidi="ar-SA"/>
        </w:rPr>
        <w:t>%（联合体</w:t>
      </w:r>
      <w:r>
        <w:rPr>
          <w:rFonts w:hint="eastAsia" w:ascii="宋体" w:hAnsi="Times New Roman" w:eastAsia="宋体" w:cs="宋体"/>
          <w:color w:val="auto"/>
          <w:kern w:val="1"/>
          <w:sz w:val="24"/>
          <w:szCs w:val="21"/>
          <w:highlight w:val="none"/>
          <w:lang w:val="en-US" w:eastAsia="zh-CN" w:bidi="ar-SA"/>
        </w:rPr>
        <w:t xml:space="preserve">0 </w:t>
      </w:r>
      <w:r>
        <w:rPr>
          <w:rFonts w:hint="default" w:ascii="宋体" w:hAnsi="Times New Roman" w:eastAsia="宋体" w:cs="宋体"/>
          <w:color w:val="auto"/>
          <w:kern w:val="1"/>
          <w:sz w:val="24"/>
          <w:szCs w:val="21"/>
          <w:highlight w:val="none"/>
          <w:lang w:val="en-US" w:eastAsia="zh-CN" w:bidi="ar-SA"/>
        </w:rPr>
        <w:t>%）的价格扣除，用扣除后的价格参与评审</w:t>
      </w:r>
      <w:r>
        <w:rPr>
          <w:rFonts w:hint="eastAsia" w:ascii="宋体" w:hAnsi="Times New Roman" w:eastAsia="宋体" w:cs="宋体"/>
          <w:color w:val="auto"/>
          <w:kern w:val="1"/>
          <w:sz w:val="24"/>
          <w:szCs w:val="21"/>
          <w:highlight w:val="none"/>
          <w:lang w:val="en-US" w:eastAsia="zh-CN" w:bidi="ar-SA"/>
        </w:rPr>
        <w:t>；</w:t>
      </w:r>
    </w:p>
    <w:p w14:paraId="6399B569">
      <w:pPr>
        <w:pStyle w:val="6"/>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default" w:ascii="宋体" w:hAnsi="Times New Roman" w:eastAsia="宋体" w:cs="宋体"/>
          <w:color w:val="auto"/>
          <w:kern w:val="1"/>
          <w:sz w:val="24"/>
          <w:szCs w:val="21"/>
          <w:highlight w:val="none"/>
          <w:lang w:val="en-US" w:eastAsia="zh-CN" w:bidi="ar-SA"/>
        </w:rPr>
      </w:pPr>
      <w:r>
        <w:rPr>
          <w:rFonts w:hint="default" w:ascii="宋体" w:hAnsi="Times New Roman" w:eastAsia="宋体" w:cs="宋体"/>
          <w:color w:val="auto"/>
          <w:kern w:val="1"/>
          <w:sz w:val="24"/>
          <w:szCs w:val="21"/>
          <w:highlight w:val="none"/>
          <w:lang w:val="en-US" w:eastAsia="zh-CN" w:bidi="ar-SA"/>
        </w:rPr>
        <w:t>监狱企业视同小型、微型企业，享受预留份额、评审中价格扣除等政府采购促进中小企业发展的政府采购政策，残疾人福利性单位属于小型、微型企业的，不重复享受政策。</w:t>
      </w:r>
    </w:p>
    <w:p w14:paraId="7E2A7F1A">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（八）竞争范围：市场竞争充分，不存在唯一供应商。</w:t>
      </w:r>
    </w:p>
    <w:p w14:paraId="6D5B0A9F">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（九）评审规则（评审方法、评审因素、价格权重等）</w:t>
      </w:r>
    </w:p>
    <w:p w14:paraId="7E2107BC">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sz w:val="24"/>
          <w:szCs w:val="21"/>
          <w:highlight w:val="none"/>
          <w:u w:val="single"/>
        </w:rPr>
        <w:t xml:space="preserve">综合评分法 </w:t>
      </w:r>
      <w:r>
        <w:rPr>
          <w:rFonts w:hint="eastAsia" w:ascii="宋体" w:hAnsi="宋体" w:eastAsia="宋体" w:cs="宋体"/>
          <w:color w:val="auto"/>
          <w:sz w:val="24"/>
          <w:szCs w:val="21"/>
          <w:highlight w:val="none"/>
        </w:rPr>
        <w:t>进行评审</w:t>
      </w:r>
    </w:p>
    <w:p w14:paraId="1DFE0F15">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2、评分因素</w:t>
      </w:r>
    </w:p>
    <w:p w14:paraId="18B2F7DD">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评分的主要因素分为价格因素、技术因素和商务因素。评分因素详见评分表。评标分值保留至两位小数。评标时，评标专家依照评分表对每个有效供应商的投标文件进行独立评审、打分。</w:t>
      </w:r>
    </w:p>
    <w:p w14:paraId="6B759522">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3、价格权重</w:t>
      </w:r>
    </w:p>
    <w:p w14:paraId="12E6AD45">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价格分（</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分）；技术分（</w:t>
      </w:r>
      <w:r>
        <w:rPr>
          <w:rFonts w:hint="eastAsia" w:ascii="宋体" w:hAnsi="宋体" w:eastAsia="宋体" w:cs="宋体"/>
          <w:color w:val="auto"/>
          <w:sz w:val="24"/>
          <w:szCs w:val="21"/>
          <w:highlight w:val="none"/>
          <w:lang w:val="en-US" w:eastAsia="zh-CN"/>
        </w:rPr>
        <w:t>15</w:t>
      </w:r>
      <w:r>
        <w:rPr>
          <w:rFonts w:hint="eastAsia" w:ascii="宋体" w:hAnsi="宋体" w:eastAsia="宋体" w:cs="宋体"/>
          <w:color w:val="auto"/>
          <w:sz w:val="24"/>
          <w:szCs w:val="21"/>
          <w:highlight w:val="none"/>
        </w:rPr>
        <w:t>分）；商务分（</w:t>
      </w:r>
      <w:r>
        <w:rPr>
          <w:rFonts w:hint="eastAsia" w:ascii="宋体" w:hAnsi="宋体" w:eastAsia="宋体" w:cs="宋体"/>
          <w:color w:val="auto"/>
          <w:sz w:val="24"/>
          <w:szCs w:val="21"/>
          <w:highlight w:val="none"/>
          <w:lang w:val="en-US" w:eastAsia="zh-CN"/>
        </w:rPr>
        <w:t>75</w:t>
      </w:r>
      <w:r>
        <w:rPr>
          <w:rFonts w:hint="eastAsia" w:ascii="宋体" w:hAnsi="宋体" w:eastAsia="宋体" w:cs="宋体"/>
          <w:color w:val="auto"/>
          <w:sz w:val="24"/>
          <w:szCs w:val="21"/>
          <w:highlight w:val="none"/>
        </w:rPr>
        <w:t>分）；</w:t>
      </w:r>
    </w:p>
    <w:p w14:paraId="7A9FD4A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B555">
    <w:pPr>
      <w:pStyle w:val="8"/>
      <w:tabs>
        <w:tab w:val="center" w:pos="4535"/>
        <w:tab w:val="clear" w:pos="4153"/>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562D1">
                          <w:pPr>
                            <w:pStyle w:val="8"/>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5562D1">
                    <w:pPr>
                      <w:pStyle w:val="8"/>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37DA">
    <w:pPr>
      <w:bidi w:val="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40054"/>
    <w:multiLevelType w:val="singleLevel"/>
    <w:tmpl w:val="9CB40054"/>
    <w:lvl w:ilvl="0" w:tentative="0">
      <w:start w:val="1"/>
      <w:numFmt w:val="decimal"/>
      <w:suff w:val="nothing"/>
      <w:lvlText w:val="%1、"/>
      <w:lvlJc w:val="left"/>
    </w:lvl>
  </w:abstractNum>
  <w:abstractNum w:abstractNumId="1">
    <w:nsid w:val="F071C71E"/>
    <w:multiLevelType w:val="singleLevel"/>
    <w:tmpl w:val="F071C71E"/>
    <w:lvl w:ilvl="0" w:tentative="0">
      <w:start w:val="4"/>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脸鬼。">
    <w15:presenceInfo w15:providerId="WPS Office" w15:userId="3302842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95B6B"/>
    <w:rsid w:val="0BDC4F75"/>
    <w:rsid w:val="223905D4"/>
    <w:rsid w:val="325C18A4"/>
    <w:rsid w:val="3A005724"/>
    <w:rsid w:val="42925DB2"/>
    <w:rsid w:val="47BD2CA1"/>
    <w:rsid w:val="584D65AC"/>
    <w:rsid w:val="5EEA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200"/>
    </w:pPr>
    <w:rPr>
      <w:rFonts w:ascii="Times New Roman" w:hAnsi="Times New Roman" w:eastAsia="仿宋_GB2312" w:cs="Times New Roman"/>
      <w:kern w:val="1"/>
      <w:sz w:val="24"/>
      <w:szCs w:val="24"/>
      <w:lang w:val="en-US" w:eastAsia="zh-CN" w:bidi="ar-SA"/>
    </w:rPr>
  </w:style>
  <w:style w:type="paragraph" w:styleId="3">
    <w:name w:val="heading 2"/>
    <w:basedOn w:val="1"/>
    <w:next w:val="1"/>
    <w:qFormat/>
    <w:uiPriority w:val="0"/>
    <w:pPr>
      <w:keepNext/>
      <w:keepLines/>
      <w:numPr>
        <w:ilvl w:val="1"/>
        <w:numId w:val="1"/>
      </w:numPr>
      <w:spacing w:before="0" w:after="0"/>
      <w:ind w:left="0" w:right="0" w:firstLine="0"/>
      <w:contextualSpacing/>
      <w:jc w:val="center"/>
      <w:outlineLvl w:val="1"/>
    </w:pPr>
    <w:rPr>
      <w:rFonts w:ascii="Cambria" w:hAnsi="Cambria" w:eastAsia="方正小标宋简体" w:cs="Times New Roman"/>
      <w:bCs/>
      <w:sz w:val="28"/>
      <w:szCs w:val="32"/>
    </w:rPr>
  </w:style>
  <w:style w:type="paragraph" w:styleId="4">
    <w:name w:val="heading 3"/>
    <w:basedOn w:val="1"/>
    <w:next w:val="1"/>
    <w:qFormat/>
    <w:uiPriority w:val="0"/>
    <w:pPr>
      <w:keepNext/>
      <w:keepLines/>
      <w:numPr>
        <w:ilvl w:val="2"/>
        <w:numId w:val="1"/>
      </w:numPr>
      <w:tabs>
        <w:tab w:val="left" w:pos="3402"/>
      </w:tabs>
      <w:spacing w:before="0" w:after="0"/>
      <w:ind w:left="0" w:right="0" w:firstLine="0"/>
      <w:contextualSpacing/>
      <w:jc w:val="center"/>
      <w:outlineLvl w:val="2"/>
    </w:pPr>
    <w:rPr>
      <w:rFonts w:eastAsia="黑体"/>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20"/>
    </w:pPr>
    <w:rPr>
      <w:rFonts w:ascii="Calibri" w:hAnsi="Calibri" w:eastAsia="宋体" w:cs="Times New Roman"/>
      <w:szCs w:val="22"/>
    </w:rPr>
  </w:style>
  <w:style w:type="paragraph" w:styleId="5">
    <w:name w:val="table of authorities"/>
    <w:basedOn w:val="1"/>
    <w:next w:val="1"/>
    <w:qFormat/>
    <w:uiPriority w:val="0"/>
    <w:pPr>
      <w:ind w:left="420" w:leftChars="200"/>
    </w:pPr>
  </w:style>
  <w:style w:type="paragraph" w:styleId="6">
    <w:name w:val="Normal Indent"/>
    <w:basedOn w:val="1"/>
    <w:qFormat/>
    <w:uiPriority w:val="0"/>
    <w:rPr>
      <w:sz w:val="28"/>
    </w:rPr>
  </w:style>
  <w:style w:type="paragraph" w:styleId="7">
    <w:name w:val="Body Text Indent"/>
    <w:basedOn w:val="1"/>
    <w:qFormat/>
    <w:uiPriority w:val="0"/>
    <w:pPr>
      <w:ind w:left="0" w:right="0" w:firstLine="420"/>
    </w:pPr>
  </w:style>
  <w:style w:type="paragraph" w:styleId="8">
    <w:name w:val="footer"/>
    <w:basedOn w:val="1"/>
    <w:next w:val="9"/>
    <w:qFormat/>
    <w:uiPriority w:val="0"/>
    <w:pPr>
      <w:tabs>
        <w:tab w:val="center" w:pos="4153"/>
        <w:tab w:val="right" w:pos="8306"/>
      </w:tabs>
      <w:snapToGrid w:val="0"/>
    </w:pPr>
    <w:rPr>
      <w:sz w:val="18"/>
      <w:szCs w:val="18"/>
    </w:rPr>
  </w:style>
  <w:style w:type="paragraph" w:customStyle="1" w:styleId="9">
    <w:name w:val="彩色列表 - 强调文字颜色 11"/>
    <w:basedOn w:val="1"/>
    <w:next w:val="1"/>
    <w:qFormat/>
    <w:uiPriority w:val="0"/>
    <w:pPr>
      <w:ind w:firstLine="420" w:firstLineChars="200"/>
    </w:pPr>
  </w:style>
  <w:style w:type="paragraph" w:styleId="10">
    <w:name w:val="Body Text First Indent 2"/>
    <w:basedOn w:val="7"/>
    <w:qFormat/>
    <w:uiPriority w:val="99"/>
    <w:pPr>
      <w:ind w:firstLine="420"/>
    </w:pPr>
    <w:rPr>
      <w:rFonts w:ascii="仿宋_GB2312" w:eastAsia="仿宋_GB2312" w:cs="仿宋_GB2312"/>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0"/>
    <w:pPr>
      <w:ind w:left="0" w:right="0" w:firstLine="420"/>
    </w:pPr>
  </w:style>
  <w:style w:type="paragraph" w:customStyle="1" w:styleId="15">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3020</Words>
  <Characters>3265</Characters>
  <Lines>0</Lines>
  <Paragraphs>0</Paragraphs>
  <TotalTime>1</TotalTime>
  <ScaleCrop>false</ScaleCrop>
  <LinksUpToDate>false</LinksUpToDate>
  <CharactersWithSpaces>3285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2025-05-21T11:33:00Z</dcterms:created>
  <dc:creator>Administrator</dc:creator>
  <cp:lastModifiedBy>大脸鬼。</cp:lastModifiedBy>
  <dcterms:modified xsi:type="dcterms:W3CDTF">2025-08-01T03:17:16Z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eyJoZGlkIjoiYzU0N2Q3ZjE2NmQwNmRkOGUzYjdkZTJkZWM1NTQ0YjEiLCJ1c2VySWQiOiIzMjA5ODQ4MjkifQ==</vt:lpwstr>
  </property>
  <property fmtid="{D5CDD505-2E9C-101B-9397-08002B2CF9AE}" pid="4" name="ICV">
    <vt:lpwstr>8CE689FD7B114B95B8B43704E75B5EF4_12</vt:lpwstr>
  </property>
</Properties>
</file>