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C3FC1">
      <w:pPr>
        <w:jc w:val="center"/>
        <w:rPr>
          <w:rFonts w:hint="eastAsia" w:ascii="Times New Roman" w:hAnsi="Times New Roman" w:eastAsia="黑体" w:cs="Times New Roman"/>
          <w:b/>
          <w:bCs/>
          <w:sz w:val="32"/>
          <w:szCs w:val="32"/>
          <w:u w:val="none"/>
          <w:lang w:val="en-US" w:eastAsia="zh-CN"/>
        </w:rPr>
      </w:pPr>
      <w:r>
        <w:rPr>
          <w:rFonts w:hint="eastAsia" w:ascii="Times New Roman" w:hAnsi="Times New Roman" w:eastAsia="黑体" w:cs="Times New Roman"/>
          <w:b/>
          <w:bCs/>
          <w:sz w:val="32"/>
          <w:szCs w:val="32"/>
          <w:u w:val="none"/>
          <w:lang w:val="en-US" w:eastAsia="zh-CN"/>
        </w:rPr>
        <w:t>余庆县人民医院医疗设备采购项目采购需求公示</w:t>
      </w:r>
    </w:p>
    <w:p w14:paraId="087C5BD5">
      <w:pPr>
        <w:pStyle w:val="8"/>
        <w:ind w:firstLine="0" w:firstLineChars="0"/>
        <w:jc w:val="left"/>
        <w:rPr>
          <w:rFonts w:hint="eastAsia" w:ascii="宋体" w:hAnsi="宋体" w:cs="宋体"/>
          <w:b/>
          <w:bCs/>
          <w:color w:val="000000"/>
          <w:kern w:val="0"/>
          <w:szCs w:val="21"/>
        </w:rPr>
      </w:pPr>
      <w:r>
        <w:rPr>
          <w:rFonts w:hint="eastAsia" w:ascii="宋体" w:hAnsi="宋体" w:cs="宋体"/>
          <w:b/>
          <w:bCs/>
          <w:color w:val="000000"/>
          <w:kern w:val="0"/>
          <w:szCs w:val="21"/>
        </w:rPr>
        <w:t>一、采购清单</w:t>
      </w:r>
    </w:p>
    <w:p w14:paraId="1A393B00">
      <w:pPr>
        <w:pStyle w:val="8"/>
        <w:ind w:firstLine="0" w:firstLineChars="0"/>
        <w:jc w:val="left"/>
        <w:rPr>
          <w:rFonts w:hint="eastAsia" w:ascii="宋体" w:hAnsi="宋体" w:cs="宋体"/>
          <w:b/>
          <w:bCs/>
          <w:color w:val="000000"/>
          <w:kern w:val="0"/>
          <w:sz w:val="22"/>
        </w:rPr>
      </w:pPr>
    </w:p>
    <w:tbl>
      <w:tblPr>
        <w:tblStyle w:val="6"/>
        <w:tblW w:w="8876" w:type="dxa"/>
        <w:jc w:val="center"/>
        <w:tblLayout w:type="fixed"/>
        <w:tblCellMar>
          <w:top w:w="0" w:type="dxa"/>
          <w:left w:w="0" w:type="dxa"/>
          <w:bottom w:w="0" w:type="dxa"/>
          <w:right w:w="0" w:type="dxa"/>
        </w:tblCellMar>
      </w:tblPr>
      <w:tblGrid>
        <w:gridCol w:w="1139"/>
        <w:gridCol w:w="2879"/>
        <w:gridCol w:w="1125"/>
        <w:gridCol w:w="1288"/>
        <w:gridCol w:w="1586"/>
        <w:gridCol w:w="859"/>
      </w:tblGrid>
      <w:tr w14:paraId="4FDF7C2C">
        <w:tblPrEx>
          <w:tblCellMar>
            <w:top w:w="0" w:type="dxa"/>
            <w:left w:w="0" w:type="dxa"/>
            <w:bottom w:w="0" w:type="dxa"/>
            <w:right w:w="0" w:type="dxa"/>
          </w:tblCellMar>
        </w:tblPrEx>
        <w:trPr>
          <w:trHeight w:val="587" w:hRule="atLeast"/>
          <w:jc w:val="center"/>
        </w:trPr>
        <w:tc>
          <w:tcPr>
            <w:tcW w:w="11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6AA716">
            <w:pPr>
              <w:pStyle w:val="5"/>
              <w:jc w:val="center"/>
              <w:rPr>
                <w:rFonts w:hint="default" w:ascii="宋体" w:hAnsi="宋体" w:cs="宋体"/>
                <w:b/>
                <w:sz w:val="22"/>
                <w:szCs w:val="24"/>
                <w:lang w:val="en-US" w:eastAsia="zh-CN"/>
              </w:rPr>
            </w:pPr>
            <w:r>
              <w:rPr>
                <w:rFonts w:hint="eastAsia" w:ascii="宋体" w:hAnsi="宋体" w:cs="宋体"/>
                <w:b/>
                <w:sz w:val="22"/>
                <w:szCs w:val="24"/>
                <w:lang w:val="en-US" w:eastAsia="zh-CN"/>
              </w:rPr>
              <w:t>序号</w:t>
            </w:r>
          </w:p>
        </w:tc>
        <w:tc>
          <w:tcPr>
            <w:tcW w:w="28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EB38A2">
            <w:pPr>
              <w:pStyle w:val="5"/>
              <w:jc w:val="center"/>
              <w:rPr>
                <w:rFonts w:hint="eastAsia" w:ascii="宋体" w:hAnsi="宋体" w:cs="宋体"/>
                <w:b/>
                <w:sz w:val="22"/>
                <w:szCs w:val="24"/>
                <w:lang w:val="en-US" w:eastAsia="zh-CN"/>
              </w:rPr>
            </w:pPr>
            <w:r>
              <w:rPr>
                <w:rFonts w:hint="eastAsia" w:ascii="宋体" w:hAnsi="宋体" w:cs="宋体"/>
                <w:b/>
                <w:sz w:val="22"/>
                <w:szCs w:val="24"/>
                <w:lang w:val="en-US" w:eastAsia="zh-CN"/>
              </w:rPr>
              <w:t>产品名称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1FC15E">
            <w:pPr>
              <w:pStyle w:val="5"/>
              <w:jc w:val="center"/>
              <w:rPr>
                <w:rFonts w:hint="eastAsia" w:ascii="宋体" w:hAnsi="宋体" w:cs="宋体"/>
                <w:b/>
                <w:sz w:val="22"/>
                <w:szCs w:val="24"/>
                <w:lang w:val="en-US" w:eastAsia="zh-CN"/>
              </w:rPr>
            </w:pPr>
            <w:r>
              <w:rPr>
                <w:rFonts w:hint="eastAsia" w:ascii="宋体" w:hAnsi="宋体" w:cs="宋体"/>
                <w:b/>
                <w:sz w:val="22"/>
                <w:szCs w:val="24"/>
                <w:lang w:val="en-US" w:eastAsia="zh-CN"/>
              </w:rPr>
              <w:t>数量</w:t>
            </w:r>
          </w:p>
        </w:tc>
        <w:tc>
          <w:tcPr>
            <w:tcW w:w="12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B91F81">
            <w:pPr>
              <w:pStyle w:val="5"/>
              <w:jc w:val="center"/>
              <w:rPr>
                <w:rFonts w:hint="eastAsia" w:ascii="宋体" w:hAnsi="宋体" w:cs="宋体"/>
                <w:b/>
                <w:sz w:val="22"/>
                <w:szCs w:val="24"/>
                <w:lang w:val="en-US" w:eastAsia="zh-CN"/>
              </w:rPr>
            </w:pPr>
            <w:r>
              <w:rPr>
                <w:rFonts w:hint="eastAsia" w:ascii="宋体" w:hAnsi="宋体" w:cs="宋体"/>
                <w:b/>
                <w:sz w:val="22"/>
                <w:szCs w:val="24"/>
                <w:lang w:val="en-US" w:eastAsia="zh-CN"/>
              </w:rPr>
              <w:t>单位</w:t>
            </w:r>
          </w:p>
        </w:tc>
        <w:tc>
          <w:tcPr>
            <w:tcW w:w="158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696A76C9">
            <w:pPr>
              <w:pStyle w:val="5"/>
              <w:jc w:val="center"/>
              <w:rPr>
                <w:rFonts w:ascii="宋体" w:hAnsi="宋体" w:cs="宋体"/>
                <w:b/>
                <w:sz w:val="22"/>
                <w:szCs w:val="24"/>
                <w:lang w:val="en-US" w:eastAsia="zh-CN"/>
              </w:rPr>
            </w:pPr>
            <w:r>
              <w:rPr>
                <w:rFonts w:hint="eastAsia" w:ascii="宋体" w:hAnsi="宋体" w:cs="宋体"/>
                <w:b/>
                <w:sz w:val="22"/>
                <w:szCs w:val="24"/>
                <w:lang w:val="en-US" w:eastAsia="zh-CN"/>
              </w:rPr>
              <w:t>金额（元）</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22AA26">
            <w:pPr>
              <w:pStyle w:val="5"/>
              <w:jc w:val="center"/>
              <w:rPr>
                <w:rFonts w:hint="eastAsia" w:ascii="宋体" w:hAnsi="宋体" w:cs="宋体"/>
                <w:b/>
                <w:sz w:val="22"/>
                <w:szCs w:val="24"/>
                <w:lang w:val="en-US" w:eastAsia="zh-CN"/>
              </w:rPr>
            </w:pPr>
            <w:r>
              <w:rPr>
                <w:rFonts w:hint="eastAsia" w:ascii="宋体" w:hAnsi="宋体" w:cs="宋体"/>
                <w:b/>
                <w:sz w:val="22"/>
                <w:szCs w:val="24"/>
                <w:lang w:val="en-US" w:eastAsia="zh-CN"/>
              </w:rPr>
              <w:t>备注</w:t>
            </w:r>
          </w:p>
        </w:tc>
      </w:tr>
      <w:tr w14:paraId="08131502">
        <w:tblPrEx>
          <w:tblCellMar>
            <w:top w:w="0" w:type="dxa"/>
            <w:left w:w="0" w:type="dxa"/>
            <w:bottom w:w="0" w:type="dxa"/>
            <w:right w:w="0" w:type="dxa"/>
          </w:tblCellMar>
        </w:tblPrEx>
        <w:trPr>
          <w:trHeight w:val="988" w:hRule="atLeast"/>
          <w:jc w:val="center"/>
        </w:trPr>
        <w:tc>
          <w:tcPr>
            <w:tcW w:w="11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A52DAA4">
            <w:pPr>
              <w:pStyle w:val="9"/>
              <w:ind w:left="7" w:leftChars="0"/>
              <w:jc w:val="center"/>
              <w:rPr>
                <w:rFonts w:hint="eastAsia" w:ascii="宋体" w:hAnsi="宋体" w:eastAsia="宋体" w:cs="宋体"/>
                <w:bCs/>
                <w:sz w:val="22"/>
                <w:szCs w:val="24"/>
                <w:lang w:val="en-US" w:eastAsia="zh-CN"/>
              </w:rPr>
            </w:pPr>
          </w:p>
          <w:p w14:paraId="05FD9DEC">
            <w:pPr>
              <w:pStyle w:val="9"/>
              <w:ind w:left="7" w:leftChars="0"/>
              <w:jc w:val="center"/>
              <w:rPr>
                <w:rFonts w:hint="default" w:ascii="宋体" w:hAnsi="宋体" w:eastAsia="宋体" w:cs="宋体"/>
                <w:bCs/>
                <w:sz w:val="22"/>
                <w:szCs w:val="24"/>
                <w:lang w:val="en-US" w:eastAsia="zh-CN"/>
              </w:rPr>
            </w:pPr>
            <w:r>
              <w:rPr>
                <w:rFonts w:hint="eastAsia" w:ascii="宋体" w:hAnsi="宋体" w:eastAsia="宋体" w:cs="宋体"/>
                <w:bCs/>
                <w:sz w:val="22"/>
                <w:szCs w:val="24"/>
                <w:lang w:val="en-US" w:eastAsia="zh-CN"/>
              </w:rPr>
              <w:t>1</w:t>
            </w:r>
          </w:p>
        </w:tc>
        <w:tc>
          <w:tcPr>
            <w:tcW w:w="28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484DA9C">
            <w:pPr>
              <w:pStyle w:val="9"/>
              <w:ind w:left="7" w:leftChars="0"/>
              <w:jc w:val="center"/>
              <w:rPr>
                <w:rFonts w:hint="eastAsia" w:ascii="宋体" w:hAnsi="宋体" w:eastAsia="宋体" w:cs="宋体"/>
                <w:bCs/>
                <w:sz w:val="22"/>
                <w:szCs w:val="24"/>
                <w:lang w:val="en-US" w:eastAsia="zh-CN"/>
              </w:rPr>
            </w:pPr>
          </w:p>
          <w:p w14:paraId="3C21E8F8">
            <w:pPr>
              <w:pStyle w:val="9"/>
              <w:ind w:left="7" w:leftChars="0"/>
              <w:jc w:val="center"/>
              <w:rPr>
                <w:rFonts w:hint="eastAsia" w:ascii="宋体" w:hAnsi="宋体" w:eastAsia="宋体" w:cs="宋体"/>
                <w:bCs/>
                <w:sz w:val="22"/>
                <w:szCs w:val="24"/>
                <w:lang w:val="en-US" w:eastAsia="zh-CN"/>
              </w:rPr>
            </w:pPr>
            <w:r>
              <w:rPr>
                <w:rFonts w:hint="eastAsia" w:ascii="宋体" w:hAnsi="宋体" w:eastAsia="宋体" w:cs="宋体"/>
                <w:bCs/>
                <w:sz w:val="22"/>
                <w:szCs w:val="24"/>
                <w:lang w:val="en-US" w:eastAsia="zh-CN"/>
              </w:rPr>
              <w:t>脑部与区域组织氧饱和度监护仪</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B9965FC">
            <w:pPr>
              <w:pStyle w:val="9"/>
              <w:ind w:left="7" w:leftChars="0"/>
              <w:jc w:val="center"/>
              <w:rPr>
                <w:rFonts w:hint="eastAsia" w:ascii="宋体" w:hAnsi="宋体" w:eastAsia="宋体" w:cs="宋体"/>
                <w:bCs/>
                <w:sz w:val="22"/>
                <w:szCs w:val="24"/>
                <w:lang w:val="en-US" w:eastAsia="zh-CN"/>
              </w:rPr>
            </w:pPr>
          </w:p>
          <w:p w14:paraId="1808CD86">
            <w:pPr>
              <w:pStyle w:val="9"/>
              <w:ind w:left="7" w:leftChars="0"/>
              <w:jc w:val="center"/>
              <w:rPr>
                <w:rFonts w:hint="default" w:ascii="宋体" w:hAnsi="宋体" w:eastAsia="宋体" w:cs="宋体"/>
                <w:bCs/>
                <w:sz w:val="22"/>
                <w:szCs w:val="24"/>
                <w:lang w:val="en-US" w:eastAsia="zh-CN"/>
              </w:rPr>
            </w:pPr>
            <w:r>
              <w:rPr>
                <w:rFonts w:hint="eastAsia" w:ascii="宋体" w:hAnsi="宋体" w:eastAsia="宋体" w:cs="宋体"/>
                <w:bCs/>
                <w:sz w:val="22"/>
                <w:szCs w:val="24"/>
                <w:lang w:val="en-US" w:eastAsia="zh-CN"/>
              </w:rPr>
              <w:t>1</w:t>
            </w:r>
          </w:p>
        </w:tc>
        <w:tc>
          <w:tcPr>
            <w:tcW w:w="12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9820139">
            <w:pPr>
              <w:pStyle w:val="9"/>
              <w:ind w:left="7" w:leftChars="0"/>
              <w:jc w:val="center"/>
              <w:rPr>
                <w:rFonts w:hint="eastAsia" w:ascii="宋体" w:hAnsi="宋体" w:eastAsia="宋体" w:cs="宋体"/>
                <w:bCs/>
                <w:sz w:val="22"/>
                <w:szCs w:val="24"/>
                <w:lang w:val="en-US" w:eastAsia="zh-CN"/>
              </w:rPr>
            </w:pPr>
          </w:p>
          <w:p w14:paraId="08402008">
            <w:pPr>
              <w:pStyle w:val="9"/>
              <w:ind w:left="7" w:leftChars="0"/>
              <w:jc w:val="center"/>
              <w:rPr>
                <w:rFonts w:hint="default" w:ascii="宋体" w:hAnsi="宋体" w:eastAsia="宋体" w:cs="宋体"/>
                <w:bCs/>
                <w:sz w:val="22"/>
                <w:szCs w:val="24"/>
                <w:lang w:val="en-US" w:eastAsia="zh-CN"/>
              </w:rPr>
            </w:pPr>
            <w:r>
              <w:rPr>
                <w:rFonts w:hint="eastAsia" w:ascii="宋体" w:hAnsi="宋体" w:eastAsia="宋体" w:cs="宋体"/>
                <w:bCs/>
                <w:sz w:val="22"/>
                <w:szCs w:val="24"/>
                <w:lang w:val="en-US" w:eastAsia="zh-CN"/>
              </w:rPr>
              <w:t>台</w:t>
            </w:r>
          </w:p>
        </w:tc>
        <w:tc>
          <w:tcPr>
            <w:tcW w:w="1586"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top"/>
          </w:tcPr>
          <w:p w14:paraId="1CB30F1F">
            <w:pPr>
              <w:pStyle w:val="9"/>
              <w:ind w:left="7" w:leftChars="0"/>
              <w:jc w:val="center"/>
              <w:rPr>
                <w:rFonts w:hint="eastAsia" w:ascii="宋体" w:hAnsi="宋体" w:eastAsia="宋体" w:cs="宋体"/>
                <w:bCs/>
                <w:sz w:val="22"/>
                <w:szCs w:val="24"/>
                <w:lang w:val="en-US" w:eastAsia="zh-CN"/>
              </w:rPr>
            </w:pPr>
          </w:p>
          <w:p w14:paraId="448D9827">
            <w:pPr>
              <w:pStyle w:val="9"/>
              <w:ind w:left="7" w:leftChars="0"/>
              <w:jc w:val="center"/>
              <w:rPr>
                <w:rFonts w:hint="default" w:ascii="宋体" w:hAnsi="宋体" w:eastAsia="宋体" w:cs="宋体"/>
                <w:bCs/>
                <w:sz w:val="22"/>
                <w:szCs w:val="24"/>
                <w:lang w:val="en-US" w:eastAsia="zh-CN"/>
              </w:rPr>
            </w:pPr>
            <w:r>
              <w:rPr>
                <w:rFonts w:hint="eastAsia" w:ascii="宋体" w:hAnsi="宋体" w:eastAsia="宋体" w:cs="宋体"/>
                <w:bCs/>
                <w:sz w:val="22"/>
                <w:szCs w:val="24"/>
                <w:lang w:val="en-US" w:eastAsia="zh-CN"/>
              </w:rPr>
              <w:t>260000.00</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C6D00C4">
            <w:pPr>
              <w:pStyle w:val="9"/>
              <w:ind w:left="7" w:leftChars="0"/>
              <w:jc w:val="center"/>
              <w:rPr>
                <w:rFonts w:hint="eastAsia" w:ascii="宋体" w:hAnsi="宋体" w:eastAsia="宋体" w:cs="宋体"/>
                <w:bCs/>
                <w:sz w:val="22"/>
                <w:szCs w:val="24"/>
                <w:lang w:val="en-US" w:eastAsia="zh-CN"/>
              </w:rPr>
            </w:pPr>
          </w:p>
        </w:tc>
      </w:tr>
      <w:tr w14:paraId="5F4AE903">
        <w:tblPrEx>
          <w:tblCellMar>
            <w:top w:w="0" w:type="dxa"/>
            <w:left w:w="0" w:type="dxa"/>
            <w:bottom w:w="0" w:type="dxa"/>
            <w:right w:w="0" w:type="dxa"/>
          </w:tblCellMar>
        </w:tblPrEx>
        <w:trPr>
          <w:trHeight w:val="988" w:hRule="atLeast"/>
          <w:jc w:val="center"/>
        </w:trPr>
        <w:tc>
          <w:tcPr>
            <w:tcW w:w="11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D7AF4A5">
            <w:pPr>
              <w:pStyle w:val="9"/>
              <w:ind w:left="7" w:leftChars="0"/>
              <w:jc w:val="center"/>
              <w:rPr>
                <w:rFonts w:hint="eastAsia" w:ascii="宋体" w:hAnsi="宋体" w:eastAsia="宋体" w:cs="宋体"/>
                <w:bCs/>
                <w:sz w:val="22"/>
                <w:szCs w:val="24"/>
                <w:lang w:val="en-US" w:eastAsia="zh-CN"/>
              </w:rPr>
            </w:pPr>
          </w:p>
          <w:p w14:paraId="2C5BA31F">
            <w:pPr>
              <w:pStyle w:val="9"/>
              <w:ind w:left="7" w:leftChars="0"/>
              <w:jc w:val="center"/>
              <w:rPr>
                <w:rFonts w:hint="default" w:ascii="宋体" w:hAnsi="宋体" w:eastAsia="宋体" w:cs="宋体"/>
                <w:bCs/>
                <w:sz w:val="22"/>
                <w:szCs w:val="24"/>
                <w:lang w:val="en-US" w:eastAsia="zh-CN"/>
              </w:rPr>
            </w:pPr>
            <w:r>
              <w:rPr>
                <w:rFonts w:hint="eastAsia" w:ascii="宋体" w:hAnsi="宋体" w:eastAsia="宋体" w:cs="宋体"/>
                <w:bCs/>
                <w:sz w:val="22"/>
                <w:szCs w:val="24"/>
                <w:lang w:val="en-US" w:eastAsia="zh-CN"/>
              </w:rPr>
              <w:t>2</w:t>
            </w:r>
          </w:p>
        </w:tc>
        <w:tc>
          <w:tcPr>
            <w:tcW w:w="28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C3CF773">
            <w:pPr>
              <w:pStyle w:val="9"/>
              <w:ind w:left="7" w:leftChars="0"/>
              <w:jc w:val="center"/>
              <w:rPr>
                <w:rFonts w:hint="eastAsia" w:ascii="宋体" w:hAnsi="宋体" w:eastAsia="宋体" w:cs="宋体"/>
                <w:bCs/>
                <w:sz w:val="22"/>
                <w:szCs w:val="24"/>
                <w:lang w:val="en-US" w:eastAsia="zh-CN"/>
              </w:rPr>
            </w:pPr>
          </w:p>
          <w:p w14:paraId="4EEDF9B2">
            <w:pPr>
              <w:pStyle w:val="9"/>
              <w:ind w:left="7" w:leftChars="0"/>
              <w:jc w:val="center"/>
              <w:rPr>
                <w:rFonts w:hint="eastAsia" w:ascii="宋体" w:hAnsi="宋体" w:eastAsia="宋体" w:cs="宋体"/>
                <w:bCs/>
                <w:sz w:val="22"/>
                <w:szCs w:val="24"/>
                <w:lang w:val="en-US" w:eastAsia="zh-CN"/>
              </w:rPr>
            </w:pPr>
            <w:r>
              <w:rPr>
                <w:rFonts w:hint="eastAsia" w:ascii="宋体" w:hAnsi="宋体" w:eastAsia="宋体" w:cs="宋体"/>
                <w:bCs/>
                <w:sz w:val="22"/>
                <w:szCs w:val="24"/>
                <w:lang w:val="en-US" w:eastAsia="zh-CN"/>
              </w:rPr>
              <w:t>血流动力学分析仪</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C46D87F">
            <w:pPr>
              <w:pStyle w:val="9"/>
              <w:ind w:left="7" w:leftChars="0"/>
              <w:jc w:val="center"/>
              <w:rPr>
                <w:rFonts w:hint="eastAsia" w:ascii="宋体" w:hAnsi="宋体" w:eastAsia="宋体" w:cs="宋体"/>
                <w:bCs/>
                <w:sz w:val="22"/>
                <w:szCs w:val="24"/>
                <w:lang w:val="en-US" w:eastAsia="zh-CN"/>
              </w:rPr>
            </w:pPr>
          </w:p>
          <w:p w14:paraId="757682DC">
            <w:pPr>
              <w:pStyle w:val="9"/>
              <w:ind w:left="7" w:leftChars="0"/>
              <w:jc w:val="center"/>
              <w:rPr>
                <w:rFonts w:hint="eastAsia" w:ascii="宋体" w:hAnsi="宋体" w:eastAsia="宋体" w:cs="宋体"/>
                <w:bCs/>
                <w:sz w:val="22"/>
                <w:szCs w:val="24"/>
                <w:lang w:val="en-US" w:eastAsia="zh-CN"/>
              </w:rPr>
            </w:pPr>
            <w:r>
              <w:rPr>
                <w:rFonts w:hint="eastAsia" w:ascii="宋体" w:hAnsi="宋体" w:eastAsia="宋体" w:cs="宋体"/>
                <w:bCs/>
                <w:sz w:val="22"/>
                <w:szCs w:val="24"/>
                <w:lang w:val="en-US" w:eastAsia="zh-CN"/>
              </w:rPr>
              <w:t>1</w:t>
            </w:r>
          </w:p>
        </w:tc>
        <w:tc>
          <w:tcPr>
            <w:tcW w:w="12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4BC2FE2">
            <w:pPr>
              <w:pStyle w:val="9"/>
              <w:ind w:left="7" w:leftChars="0"/>
              <w:jc w:val="center"/>
              <w:rPr>
                <w:rFonts w:hint="eastAsia" w:ascii="宋体" w:hAnsi="宋体" w:eastAsia="宋体" w:cs="宋体"/>
                <w:bCs/>
                <w:sz w:val="22"/>
                <w:szCs w:val="24"/>
                <w:lang w:val="en-US" w:eastAsia="zh-CN"/>
              </w:rPr>
            </w:pPr>
          </w:p>
          <w:p w14:paraId="48BA125B">
            <w:pPr>
              <w:pStyle w:val="9"/>
              <w:ind w:left="7" w:leftChars="0"/>
              <w:jc w:val="center"/>
              <w:rPr>
                <w:rFonts w:hint="eastAsia" w:ascii="宋体" w:hAnsi="宋体" w:eastAsia="宋体" w:cs="宋体"/>
                <w:bCs/>
                <w:sz w:val="22"/>
                <w:szCs w:val="24"/>
                <w:lang w:val="en-US" w:eastAsia="zh-CN"/>
              </w:rPr>
            </w:pPr>
            <w:r>
              <w:rPr>
                <w:rFonts w:hint="eastAsia" w:ascii="宋体" w:hAnsi="宋体" w:eastAsia="宋体" w:cs="宋体"/>
                <w:bCs/>
                <w:sz w:val="22"/>
                <w:szCs w:val="24"/>
                <w:lang w:val="en-US" w:eastAsia="zh-CN"/>
              </w:rPr>
              <w:t>套</w:t>
            </w:r>
          </w:p>
        </w:tc>
        <w:tc>
          <w:tcPr>
            <w:tcW w:w="1586"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top"/>
          </w:tcPr>
          <w:p w14:paraId="09B15C5E">
            <w:pPr>
              <w:pStyle w:val="9"/>
              <w:ind w:left="7" w:leftChars="0"/>
              <w:jc w:val="center"/>
              <w:rPr>
                <w:rFonts w:hint="eastAsia" w:ascii="宋体" w:hAnsi="宋体" w:eastAsia="宋体" w:cs="宋体"/>
                <w:bCs/>
                <w:sz w:val="22"/>
                <w:szCs w:val="24"/>
                <w:lang w:val="en-US" w:eastAsia="zh-CN"/>
              </w:rPr>
            </w:pPr>
          </w:p>
          <w:p w14:paraId="01A8004B">
            <w:pPr>
              <w:pStyle w:val="9"/>
              <w:ind w:left="7" w:leftChars="0"/>
              <w:jc w:val="center"/>
              <w:rPr>
                <w:rFonts w:hint="default" w:ascii="宋体" w:hAnsi="宋体" w:eastAsia="宋体" w:cs="宋体"/>
                <w:bCs/>
                <w:sz w:val="22"/>
                <w:szCs w:val="24"/>
                <w:lang w:val="en-US" w:eastAsia="zh-CN"/>
              </w:rPr>
            </w:pPr>
            <w:r>
              <w:rPr>
                <w:rFonts w:hint="eastAsia" w:ascii="宋体" w:hAnsi="宋体" w:eastAsia="宋体" w:cs="宋体"/>
                <w:bCs/>
                <w:sz w:val="22"/>
                <w:szCs w:val="24"/>
                <w:lang w:val="en-US" w:eastAsia="zh-CN"/>
              </w:rPr>
              <w:t>380000.00</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DC69127">
            <w:pPr>
              <w:pStyle w:val="9"/>
              <w:ind w:left="7" w:leftChars="0"/>
              <w:jc w:val="center"/>
              <w:rPr>
                <w:rFonts w:hint="eastAsia" w:ascii="宋体" w:hAnsi="宋体" w:eastAsia="宋体" w:cs="宋体"/>
                <w:bCs/>
                <w:sz w:val="22"/>
                <w:szCs w:val="24"/>
                <w:lang w:val="en-US" w:eastAsia="zh-CN"/>
              </w:rPr>
            </w:pPr>
          </w:p>
        </w:tc>
      </w:tr>
    </w:tbl>
    <w:p w14:paraId="2EADB4DE">
      <w:pPr>
        <w:pStyle w:val="8"/>
        <w:ind w:firstLine="0" w:firstLineChars="0"/>
        <w:jc w:val="left"/>
        <w:rPr>
          <w:rFonts w:hint="eastAsia" w:ascii="宋体" w:hAnsi="宋体" w:eastAsia="宋体" w:cs="宋体"/>
          <w:b/>
          <w:bCs/>
          <w:color w:val="FF0000"/>
          <w:kern w:val="0"/>
          <w:szCs w:val="21"/>
          <w:lang w:eastAsia="zh-CN"/>
        </w:rPr>
      </w:pPr>
    </w:p>
    <w:p w14:paraId="0DA89229">
      <w:pPr>
        <w:pStyle w:val="8"/>
        <w:ind w:firstLine="0" w:firstLineChars="0"/>
        <w:jc w:val="left"/>
        <w:rPr>
          <w:rFonts w:hint="eastAsia" w:ascii="宋体" w:hAnsi="宋体" w:cs="宋体"/>
          <w:b/>
          <w:bCs/>
          <w:color w:val="000000"/>
          <w:kern w:val="0"/>
          <w:szCs w:val="21"/>
        </w:rPr>
      </w:pPr>
    </w:p>
    <w:p w14:paraId="7F09C25D">
      <w:pPr>
        <w:spacing w:line="360" w:lineRule="auto"/>
        <w:jc w:val="both"/>
        <w:outlineLvl w:val="0"/>
        <w:rPr>
          <w:rFonts w:hint="eastAsia" w:ascii="宋体" w:hAnsi="宋体" w:eastAsia="宋体" w:cs="宋体"/>
          <w:bCs/>
          <w:sz w:val="22"/>
          <w:szCs w:val="24"/>
          <w:lang w:val="en-US" w:eastAsia="zh-CN"/>
        </w:rPr>
      </w:pPr>
    </w:p>
    <w:p w14:paraId="659DDAB0">
      <w:pPr>
        <w:pStyle w:val="8"/>
        <w:ind w:firstLine="0" w:firstLineChars="0"/>
        <w:jc w:val="left"/>
        <w:rPr>
          <w:rFonts w:hint="default" w:ascii="宋体" w:hAnsi="宋体" w:eastAsia="宋体"/>
          <w:highlight w:val="yellow"/>
          <w:lang w:val="en-US" w:eastAsia="zh-CN"/>
        </w:rPr>
      </w:pPr>
      <w:r>
        <w:rPr>
          <w:rFonts w:hint="eastAsia" w:ascii="宋体" w:hAnsi="宋体" w:cs="宋体"/>
          <w:b/>
          <w:bCs/>
          <w:color w:val="000000"/>
          <w:kern w:val="0"/>
          <w:szCs w:val="21"/>
        </w:rPr>
        <w:t>二、技术参数（规格）要求</w:t>
      </w:r>
      <w:r>
        <w:rPr>
          <w:rFonts w:hint="eastAsia" w:ascii="宋体" w:hAnsi="宋体" w:cs="宋体"/>
          <w:b/>
          <w:bCs/>
          <w:color w:val="000000"/>
          <w:kern w:val="0"/>
          <w:szCs w:val="21"/>
          <w:lang w:val="en-US" w:eastAsia="zh-CN"/>
        </w:rPr>
        <w:t xml:space="preserve"> </w:t>
      </w:r>
    </w:p>
    <w:p w14:paraId="6D6447F3">
      <w:pPr>
        <w:spacing w:line="360" w:lineRule="auto"/>
        <w:jc w:val="both"/>
        <w:outlineLvl w:val="0"/>
        <w:rPr>
          <w:rFonts w:hint="eastAsia" w:ascii="宋体" w:hAnsi="宋体" w:eastAsia="宋体" w:cs="宋体"/>
          <w:bCs/>
          <w:sz w:val="22"/>
          <w:szCs w:val="24"/>
          <w:lang w:val="en-US" w:eastAsia="zh-CN"/>
        </w:rPr>
      </w:pPr>
    </w:p>
    <w:p w14:paraId="0FEFB7E8">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val="0"/>
          <w:sz w:val="22"/>
          <w:szCs w:val="24"/>
          <w:lang w:val="en-US" w:eastAsia="zh-CN"/>
        </w:rPr>
      </w:pPr>
      <w:r>
        <w:rPr>
          <w:rFonts w:hint="eastAsia" w:ascii="宋体" w:hAnsi="宋体" w:eastAsia="宋体" w:cs="宋体"/>
          <w:b/>
          <w:bCs w:val="0"/>
          <w:sz w:val="22"/>
          <w:szCs w:val="24"/>
          <w:lang w:val="en-US" w:eastAsia="zh-CN"/>
        </w:rPr>
        <w:t>序号1 脑部与区域组织氧饱和度监护仪</w:t>
      </w:r>
    </w:p>
    <w:p w14:paraId="0EE3EB0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通过贴片传感器监测大脑或局部组织血氧饱和度（rSO2），局部组织包含：躯体特定位置（腹部、肠系膜、肾区或其他特定位置）；</w:t>
      </w:r>
      <w:r>
        <w:rPr>
          <w:rFonts w:hint="eastAsia" w:ascii="宋体" w:hAnsi="宋体" w:eastAsia="宋体" w:cs="宋体"/>
          <w:color w:val="000000"/>
          <w:sz w:val="24"/>
          <w:szCs w:val="24"/>
          <w:lang w:val="en-US"/>
        </w:rPr>
        <w:t>可监测参数：</w:t>
      </w:r>
      <w:r>
        <w:rPr>
          <w:rFonts w:hint="eastAsia" w:ascii="宋体" w:hAnsi="宋体" w:eastAsia="宋体" w:cs="宋体"/>
          <w:color w:val="000000"/>
          <w:sz w:val="24"/>
          <w:szCs w:val="24"/>
        </w:rPr>
        <w:t>大脑或局部组织血氧饱和度</w:t>
      </w:r>
      <w:r>
        <w:rPr>
          <w:rFonts w:hint="eastAsia" w:ascii="宋体" w:hAnsi="宋体" w:eastAsia="宋体" w:cs="宋体"/>
          <w:color w:val="000000"/>
          <w:sz w:val="24"/>
          <w:szCs w:val="24"/>
          <w:lang w:val="en-US"/>
        </w:rPr>
        <w:t>（</w:t>
      </w:r>
      <w:r>
        <w:rPr>
          <w:rFonts w:hint="eastAsia" w:ascii="宋体" w:hAnsi="宋体" w:eastAsia="宋体" w:cs="宋体"/>
          <w:color w:val="000000"/>
          <w:sz w:val="24"/>
          <w:szCs w:val="24"/>
        </w:rPr>
        <w:t>rSO2</w:t>
      </w:r>
      <w:r>
        <w:rPr>
          <w:rFonts w:hint="eastAsia" w:ascii="宋体" w:hAnsi="宋体" w:eastAsia="宋体" w:cs="宋体"/>
          <w:color w:val="000000"/>
          <w:sz w:val="24"/>
          <w:szCs w:val="24"/>
          <w:lang w:val="en-US"/>
        </w:rPr>
        <w:t>）、信号质量（SQI）、AUC值(不饱和容积)、基线值（</w:t>
      </w:r>
      <w:r>
        <w:rPr>
          <w:rFonts w:hint="eastAsia" w:ascii="宋体" w:hAnsi="宋体" w:eastAsia="宋体" w:cs="宋体"/>
          <w:color w:val="000000"/>
          <w:sz w:val="24"/>
          <w:szCs w:val="24"/>
          <w:lang w:val="en-US" w:eastAsia="zh-CN"/>
        </w:rPr>
        <w:t>BL</w:t>
      </w:r>
      <w:r>
        <w:rPr>
          <w:rFonts w:hint="eastAsia" w:ascii="宋体" w:hAnsi="宋体" w:eastAsia="宋体" w:cs="宋体"/>
          <w:color w:val="000000"/>
          <w:sz w:val="24"/>
          <w:szCs w:val="24"/>
          <w:lang w:val="en-US"/>
        </w:rPr>
        <w:t>）、氧合血红蛋白浓度变化量</w:t>
      </w:r>
      <w:r>
        <w:rPr>
          <w:rFonts w:hint="eastAsia" w:ascii="宋体" w:hAnsi="宋体" w:eastAsia="宋体" w:cs="宋体"/>
          <w:color w:val="000000"/>
          <w:sz w:val="24"/>
          <w:szCs w:val="24"/>
          <w:lang w:val="en-US" w:eastAsia="zh-CN"/>
        </w:rPr>
        <w:t>及变化指数</w:t>
      </w:r>
      <w:r>
        <w:rPr>
          <w:rFonts w:hint="eastAsia" w:ascii="宋体" w:hAnsi="宋体" w:eastAsia="宋体" w:cs="宋体"/>
          <w:color w:val="000000"/>
          <w:sz w:val="24"/>
          <w:szCs w:val="24"/>
          <w:lang w:val="en-US"/>
        </w:rPr>
        <w:t>（ΔO2Hb\O2HbI）、还原血红蛋白浓度变化量</w:t>
      </w:r>
      <w:r>
        <w:rPr>
          <w:rFonts w:hint="eastAsia" w:ascii="宋体" w:hAnsi="宋体" w:eastAsia="宋体" w:cs="宋体"/>
          <w:color w:val="000000"/>
          <w:sz w:val="24"/>
          <w:szCs w:val="24"/>
          <w:lang w:val="en-US" w:eastAsia="zh-CN"/>
        </w:rPr>
        <w:t>及变化指数</w:t>
      </w:r>
      <w:r>
        <w:rPr>
          <w:rFonts w:hint="eastAsia" w:ascii="宋体" w:hAnsi="宋体" w:eastAsia="宋体" w:cs="宋体"/>
          <w:color w:val="000000"/>
          <w:sz w:val="24"/>
          <w:szCs w:val="24"/>
          <w:lang w:val="en-US"/>
        </w:rPr>
        <w:t>（ΔHHb</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val="en-US"/>
        </w:rPr>
        <w:t>HHb</w:t>
      </w:r>
      <w:r>
        <w:rPr>
          <w:rFonts w:hint="eastAsia" w:ascii="宋体" w:hAnsi="宋体" w:eastAsia="宋体" w:cs="宋体"/>
          <w:color w:val="000000"/>
          <w:sz w:val="24"/>
          <w:szCs w:val="24"/>
          <w:lang w:val="en-US" w:eastAsia="zh-CN"/>
        </w:rPr>
        <w:t>I</w:t>
      </w:r>
      <w:r>
        <w:rPr>
          <w:rFonts w:hint="eastAsia" w:ascii="宋体" w:hAnsi="宋体" w:eastAsia="宋体" w:cs="宋体"/>
          <w:color w:val="000000"/>
          <w:sz w:val="24"/>
          <w:szCs w:val="24"/>
          <w:lang w:val="en-US"/>
        </w:rPr>
        <w:t>）、总血红蛋白浓度变化量</w:t>
      </w:r>
      <w:r>
        <w:rPr>
          <w:rFonts w:hint="eastAsia" w:ascii="宋体" w:hAnsi="宋体" w:eastAsia="宋体" w:cs="宋体"/>
          <w:color w:val="000000"/>
          <w:sz w:val="24"/>
          <w:szCs w:val="24"/>
          <w:lang w:val="en-US" w:eastAsia="zh-CN"/>
        </w:rPr>
        <w:t>及变化指数</w:t>
      </w:r>
      <w:r>
        <w:rPr>
          <w:rFonts w:hint="eastAsia" w:ascii="宋体" w:hAnsi="宋体" w:eastAsia="宋体" w:cs="宋体"/>
          <w:color w:val="000000"/>
          <w:sz w:val="24"/>
          <w:szCs w:val="24"/>
          <w:lang w:val="en-US"/>
        </w:rPr>
        <w:t>（ΔtHb</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val="en-US"/>
        </w:rPr>
        <w:t>tHb</w:t>
      </w:r>
      <w:r>
        <w:rPr>
          <w:rFonts w:hint="eastAsia" w:ascii="宋体" w:hAnsi="宋体" w:eastAsia="宋体" w:cs="宋体"/>
          <w:color w:val="000000"/>
          <w:sz w:val="24"/>
          <w:szCs w:val="24"/>
          <w:lang w:val="en-US" w:eastAsia="zh-CN"/>
        </w:rPr>
        <w:t>I</w:t>
      </w:r>
      <w:r>
        <w:rPr>
          <w:rFonts w:hint="eastAsia" w:ascii="宋体" w:hAnsi="宋体" w:eastAsia="宋体" w:cs="宋体"/>
          <w:color w:val="000000"/>
          <w:sz w:val="24"/>
          <w:szCs w:val="24"/>
          <w:lang w:val="en-US"/>
        </w:rPr>
        <w:t>）、局部组织血红蛋白浓度指数</w:t>
      </w:r>
      <w:r>
        <w:rPr>
          <w:rFonts w:hint="eastAsia" w:ascii="宋体" w:hAnsi="宋体" w:eastAsia="宋体" w:cs="宋体"/>
          <w:color w:val="000000"/>
          <w:sz w:val="24"/>
          <w:szCs w:val="24"/>
          <w:lang w:val="en-US" w:eastAsia="zh-CN"/>
        </w:rPr>
        <w:t>及其变化量</w:t>
      </w:r>
      <w:r>
        <w:rPr>
          <w:rFonts w:hint="eastAsia" w:ascii="宋体" w:hAnsi="宋体" w:eastAsia="宋体" w:cs="宋体"/>
          <w:color w:val="000000"/>
          <w:sz w:val="24"/>
          <w:szCs w:val="24"/>
          <w:lang w:val="en-US"/>
        </w:rPr>
        <w:t>（ΔTHI\THI）。提供连续、无创、精确的脑组织和局部组织氧饱和度值。</w:t>
      </w:r>
    </w:p>
    <w:p w14:paraId="68D7457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none"/>
          <w:lang w:val="en-US" w:eastAsia="zh-CN"/>
        </w:rPr>
        <w:t>2、显示屏幕：≥12</w:t>
      </w:r>
      <w:r>
        <w:rPr>
          <w:rFonts w:hint="eastAsia" w:ascii="宋体" w:hAnsi="宋体" w:eastAsia="宋体" w:cs="宋体"/>
          <w:strike/>
          <w:dstrike w:val="0"/>
          <w:color w:val="000000"/>
          <w:sz w:val="24"/>
          <w:szCs w:val="24"/>
          <w:highlight w:val="none"/>
          <w:lang w:val="en-US" w:eastAsia="zh-CN"/>
        </w:rPr>
        <w:t>英寸</w:t>
      </w:r>
      <w:r>
        <w:rPr>
          <w:rFonts w:hint="eastAsia" w:ascii="宋体" w:hAnsi="宋体" w:eastAsia="宋体" w:cs="宋体"/>
          <w:color w:val="000000"/>
          <w:sz w:val="24"/>
          <w:szCs w:val="24"/>
          <w:highlight w:val="none"/>
          <w:lang w:val="en-US" w:eastAsia="zh-CN"/>
        </w:rPr>
        <w:t>分辨率≥1280*800；屏幕亮度可调节；</w:t>
      </w:r>
    </w:p>
    <w:p w14:paraId="0306C0E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val="en-US"/>
        </w:rPr>
        <w:t>可监测信号质量（SQI），具备≥0-4 格</w:t>
      </w:r>
      <w:r>
        <w:rPr>
          <w:rFonts w:hint="eastAsia" w:ascii="宋体" w:hAnsi="宋体" w:eastAsia="宋体" w:cs="宋体"/>
          <w:color w:val="000000"/>
          <w:sz w:val="24"/>
          <w:szCs w:val="24"/>
          <w:lang w:val="en-US" w:eastAsia="zh-CN"/>
        </w:rPr>
        <w:t>信号强度</w:t>
      </w:r>
      <w:r>
        <w:rPr>
          <w:rFonts w:hint="eastAsia" w:ascii="宋体" w:hAnsi="宋体" w:eastAsia="宋体" w:cs="宋体"/>
          <w:color w:val="000000"/>
          <w:sz w:val="24"/>
          <w:szCs w:val="24"/>
          <w:lang w:val="en-US"/>
        </w:rPr>
        <w:t>指示；</w:t>
      </w:r>
    </w:p>
    <w:p w14:paraId="5AEA941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val="en-US"/>
        </w:rPr>
        <w:t>可显示及设置基线值（</w:t>
      </w:r>
      <w:r>
        <w:rPr>
          <w:rFonts w:hint="eastAsia" w:ascii="宋体" w:hAnsi="宋体" w:eastAsia="宋体" w:cs="宋体"/>
          <w:color w:val="000000"/>
          <w:sz w:val="24"/>
          <w:szCs w:val="24"/>
          <w:lang w:val="en-US" w:eastAsia="zh-CN"/>
        </w:rPr>
        <w:t>BL</w:t>
      </w:r>
      <w:r>
        <w:rPr>
          <w:rFonts w:hint="eastAsia" w:ascii="宋体" w:hAnsi="宋体" w:eastAsia="宋体" w:cs="宋体"/>
          <w:color w:val="000000"/>
          <w:sz w:val="24"/>
          <w:szCs w:val="24"/>
          <w:lang w:val="en-US"/>
        </w:rPr>
        <w:t>），并实时计算相对基线值的变化量（Δ</w:t>
      </w:r>
      <w:r>
        <w:rPr>
          <w:rFonts w:hint="eastAsia" w:ascii="宋体" w:hAnsi="宋体" w:eastAsia="宋体" w:cs="宋体"/>
          <w:color w:val="000000"/>
          <w:sz w:val="24"/>
          <w:szCs w:val="24"/>
          <w:lang w:val="en-US" w:eastAsia="zh-CN"/>
        </w:rPr>
        <w:t>BL</w:t>
      </w:r>
      <w:r>
        <w:rPr>
          <w:rFonts w:hint="eastAsia" w:ascii="宋体" w:hAnsi="宋体" w:eastAsia="宋体" w:cs="宋体"/>
          <w:color w:val="000000"/>
          <w:sz w:val="24"/>
          <w:szCs w:val="24"/>
          <w:lang w:val="en-US"/>
        </w:rPr>
        <w:t>）；可根据患者</w:t>
      </w:r>
      <w:r>
        <w:rPr>
          <w:rFonts w:hint="eastAsia" w:ascii="宋体" w:hAnsi="宋体" w:eastAsia="宋体" w:cs="宋体"/>
          <w:color w:val="000000"/>
          <w:sz w:val="24"/>
          <w:szCs w:val="24"/>
          <w:lang w:val="en-US" w:eastAsia="zh-CN"/>
        </w:rPr>
        <w:t>当前</w:t>
      </w:r>
      <w:r>
        <w:rPr>
          <w:rFonts w:hint="eastAsia" w:ascii="宋体" w:hAnsi="宋体" w:eastAsia="宋体" w:cs="宋体"/>
          <w:color w:val="000000"/>
          <w:sz w:val="24"/>
          <w:szCs w:val="24"/>
          <w:lang w:val="en-US"/>
        </w:rPr>
        <w:t>情况</w:t>
      </w:r>
      <w:r>
        <w:rPr>
          <w:rFonts w:hint="eastAsia" w:ascii="宋体" w:hAnsi="宋体" w:eastAsia="宋体" w:cs="宋体"/>
          <w:color w:val="000000"/>
          <w:sz w:val="24"/>
          <w:szCs w:val="24"/>
          <w:lang w:val="en-US" w:eastAsia="zh-CN"/>
        </w:rPr>
        <w:t>刷</w:t>
      </w:r>
      <w:r>
        <w:rPr>
          <w:rFonts w:hint="eastAsia" w:ascii="宋体" w:hAnsi="宋体" w:eastAsia="宋体" w:cs="宋体"/>
          <w:color w:val="000000"/>
          <w:sz w:val="24"/>
          <w:szCs w:val="24"/>
          <w:lang w:val="en-US"/>
        </w:rPr>
        <w:t>新基线值</w:t>
      </w:r>
      <w:r>
        <w:rPr>
          <w:rFonts w:hint="eastAsia" w:ascii="宋体" w:hAnsi="宋体" w:eastAsia="宋体" w:cs="宋体"/>
          <w:color w:val="000000"/>
          <w:sz w:val="24"/>
          <w:szCs w:val="24"/>
          <w:lang w:val="en-US" w:eastAsia="zh-CN"/>
        </w:rPr>
        <w:t>或手动录入需要的</w:t>
      </w:r>
      <w:r>
        <w:rPr>
          <w:rFonts w:hint="eastAsia" w:ascii="宋体" w:hAnsi="宋体" w:eastAsia="宋体" w:cs="宋体"/>
          <w:color w:val="000000"/>
          <w:sz w:val="24"/>
          <w:szCs w:val="24"/>
          <w:lang w:val="en-US"/>
        </w:rPr>
        <w:t>基线值</w:t>
      </w:r>
      <w:r>
        <w:rPr>
          <w:rFonts w:hint="eastAsia" w:ascii="宋体" w:hAnsi="宋体" w:eastAsia="宋体" w:cs="宋体"/>
          <w:color w:val="000000"/>
          <w:sz w:val="24"/>
          <w:szCs w:val="24"/>
          <w:lang w:val="en-US" w:eastAsia="zh-CN"/>
        </w:rPr>
        <w:t>；</w:t>
      </w:r>
    </w:p>
    <w:p w14:paraId="0771963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val="en-US"/>
        </w:rPr>
        <w:t>监测脑、局部组织中氧合血红蛋白浓度相对初始值的变化量</w:t>
      </w:r>
      <w:r>
        <w:rPr>
          <w:rFonts w:hint="eastAsia" w:ascii="宋体" w:hAnsi="宋体" w:eastAsia="宋体" w:cs="宋体"/>
          <w:color w:val="000000"/>
          <w:sz w:val="24"/>
          <w:szCs w:val="24"/>
          <w:lang w:val="en-US" w:eastAsia="zh-CN"/>
        </w:rPr>
        <w:t>及变化指数</w:t>
      </w:r>
      <w:r>
        <w:rPr>
          <w:rFonts w:hint="eastAsia" w:ascii="宋体" w:hAnsi="宋体" w:eastAsia="宋体" w:cs="宋体"/>
          <w:color w:val="000000"/>
          <w:sz w:val="24"/>
          <w:szCs w:val="24"/>
          <w:lang w:val="en-US"/>
        </w:rPr>
        <w:t>（ΔO2Hb\O2HbI）；测量范围：≥-100~100μmol/L；监测脑、局部组织中还原血红蛋白浓度相对初始值的变化量</w:t>
      </w:r>
      <w:r>
        <w:rPr>
          <w:rFonts w:hint="eastAsia" w:ascii="宋体" w:hAnsi="宋体" w:eastAsia="宋体" w:cs="宋体"/>
          <w:color w:val="000000"/>
          <w:sz w:val="24"/>
          <w:szCs w:val="24"/>
          <w:lang w:val="en-US" w:eastAsia="zh-CN"/>
        </w:rPr>
        <w:t>及变化指数</w:t>
      </w:r>
      <w:r>
        <w:rPr>
          <w:rFonts w:hint="eastAsia" w:ascii="宋体" w:hAnsi="宋体" w:eastAsia="宋体" w:cs="宋体"/>
          <w:color w:val="000000"/>
          <w:sz w:val="24"/>
          <w:szCs w:val="24"/>
          <w:lang w:val="en-US"/>
        </w:rPr>
        <w:t>（ΔHHb</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val="en-US"/>
        </w:rPr>
        <w:t>HHb</w:t>
      </w:r>
      <w:r>
        <w:rPr>
          <w:rFonts w:hint="eastAsia" w:ascii="宋体" w:hAnsi="宋体" w:eastAsia="宋体" w:cs="宋体"/>
          <w:color w:val="000000"/>
          <w:sz w:val="24"/>
          <w:szCs w:val="24"/>
          <w:lang w:val="en-US" w:eastAsia="zh-CN"/>
        </w:rPr>
        <w:t>I</w:t>
      </w:r>
      <w:r>
        <w:rPr>
          <w:rFonts w:hint="eastAsia" w:ascii="宋体" w:hAnsi="宋体" w:eastAsia="宋体" w:cs="宋体"/>
          <w:color w:val="000000"/>
          <w:sz w:val="24"/>
          <w:szCs w:val="24"/>
          <w:lang w:val="en-US"/>
        </w:rPr>
        <w:t>）；测量范围：≥-100~100μmol/L；监测脑、局部组织中总血红蛋白浓度相对初始值的变化量</w:t>
      </w:r>
      <w:r>
        <w:rPr>
          <w:rFonts w:hint="eastAsia" w:ascii="宋体" w:hAnsi="宋体" w:eastAsia="宋体" w:cs="宋体"/>
          <w:color w:val="000000"/>
          <w:sz w:val="24"/>
          <w:szCs w:val="24"/>
          <w:lang w:val="en-US" w:eastAsia="zh-CN"/>
        </w:rPr>
        <w:t>及变化指数</w:t>
      </w:r>
      <w:r>
        <w:rPr>
          <w:rFonts w:hint="eastAsia" w:ascii="宋体" w:hAnsi="宋体" w:eastAsia="宋体" w:cs="宋体"/>
          <w:color w:val="000000"/>
          <w:sz w:val="24"/>
          <w:szCs w:val="24"/>
          <w:lang w:val="en-US"/>
        </w:rPr>
        <w:t>（ΔtHb</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val="en-US"/>
        </w:rPr>
        <w:t>tHb</w:t>
      </w:r>
      <w:r>
        <w:rPr>
          <w:rFonts w:hint="eastAsia" w:ascii="宋体" w:hAnsi="宋体" w:eastAsia="宋体" w:cs="宋体"/>
          <w:color w:val="000000"/>
          <w:sz w:val="24"/>
          <w:szCs w:val="24"/>
          <w:lang w:val="en-US" w:eastAsia="zh-CN"/>
        </w:rPr>
        <w:t>I</w:t>
      </w:r>
      <w:r>
        <w:rPr>
          <w:rFonts w:hint="eastAsia" w:ascii="宋体" w:hAnsi="宋体" w:eastAsia="宋体" w:cs="宋体"/>
          <w:color w:val="000000"/>
          <w:sz w:val="24"/>
          <w:szCs w:val="24"/>
          <w:lang w:val="en-US"/>
        </w:rPr>
        <w:t>）；测量范围：≥-100~100μmol/L；</w:t>
      </w:r>
    </w:p>
    <w:p w14:paraId="6538689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val="en-US"/>
        </w:rPr>
        <w:t>监测脑、局部组织中血红蛋白浓度指数及其变化量</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val="en-US"/>
        </w:rPr>
        <w:t>ΔtHI\tHI</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val="en-US"/>
        </w:rPr>
        <w:t>可从血容量角度反映局部组织的灌注情况，在HCT稳定的前提下可反映局部组织血管的舒张与收缩。</w:t>
      </w:r>
    </w:p>
    <w:p w14:paraId="4BAF15C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rSO2</w:t>
      </w:r>
      <w:r>
        <w:rPr>
          <w:rFonts w:hint="eastAsia" w:ascii="宋体" w:hAnsi="宋体" w:eastAsia="宋体" w:cs="宋体"/>
          <w:color w:val="000000"/>
          <w:sz w:val="24"/>
          <w:szCs w:val="24"/>
          <w:lang w:val="en-US"/>
        </w:rPr>
        <w:t>测量范围及分辨率：≥0%～100%，分辨率误差≤±1%；</w:t>
      </w:r>
    </w:p>
    <w:p w14:paraId="764E133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具有≥9种监测状态报警提示，包括：传感器连接失败、传感器探头位置出错、传感器数据不稳定、环境光过强、模块未连接、传感器未连接、电池电量低、超过上限、低于下限；</w:t>
      </w:r>
    </w:p>
    <w:p w14:paraId="0378DA5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trike w:val="0"/>
          <w:dstrike w:val="0"/>
          <w:color w:val="000000"/>
          <w:sz w:val="24"/>
          <w:szCs w:val="24"/>
          <w:highlight w:val="none"/>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仪器通道数≥4通道，每个通道分不同颜色同屏监测、同屏显示≥</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个参数的数值或趋势曲线</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个参数</w:t>
      </w:r>
      <w:r>
        <w:rPr>
          <w:rFonts w:hint="eastAsia" w:ascii="宋体" w:hAnsi="宋体" w:eastAsia="宋体" w:cs="宋体"/>
          <w:color w:val="000000"/>
          <w:sz w:val="24"/>
          <w:szCs w:val="24"/>
          <w:lang w:val="en-US" w:eastAsia="zh-CN"/>
        </w:rPr>
        <w:t>分别为：</w:t>
      </w:r>
      <w:r>
        <w:rPr>
          <w:rFonts w:hint="eastAsia" w:ascii="宋体" w:hAnsi="宋体" w:eastAsia="宋体" w:cs="宋体"/>
          <w:color w:val="000000"/>
          <w:sz w:val="24"/>
          <w:szCs w:val="24"/>
        </w:rPr>
        <w:t>rSO2</w:t>
      </w:r>
      <w:r>
        <w:rPr>
          <w:rFonts w:hint="eastAsia" w:ascii="宋体" w:hAnsi="宋体" w:eastAsia="宋体" w:cs="宋体"/>
          <w:color w:val="000000"/>
          <w:sz w:val="24"/>
          <w:szCs w:val="24"/>
          <w:lang w:val="en-US" w:eastAsia="zh-CN"/>
        </w:rPr>
        <w:t>、BL、</w:t>
      </w:r>
      <w:r>
        <w:rPr>
          <w:rFonts w:hint="eastAsia" w:ascii="宋体" w:hAnsi="宋体" w:eastAsia="宋体" w:cs="宋体"/>
          <w:color w:val="000000"/>
          <w:sz w:val="24"/>
          <w:szCs w:val="24"/>
          <w:lang w:val="en-US"/>
        </w:rPr>
        <w:t>Δ</w:t>
      </w:r>
      <w:r>
        <w:rPr>
          <w:rFonts w:hint="eastAsia" w:ascii="宋体" w:hAnsi="宋体" w:eastAsia="宋体" w:cs="宋体"/>
          <w:color w:val="000000"/>
          <w:sz w:val="24"/>
          <w:szCs w:val="24"/>
          <w:lang w:val="en-US" w:eastAsia="zh-CN"/>
        </w:rPr>
        <w:t>BL、AUC、</w:t>
      </w:r>
      <w:r>
        <w:rPr>
          <w:rFonts w:hint="eastAsia" w:ascii="宋体" w:hAnsi="宋体" w:eastAsia="宋体" w:cs="宋体"/>
          <w:color w:val="000000"/>
          <w:sz w:val="24"/>
          <w:szCs w:val="24"/>
          <w:lang w:val="en-US"/>
        </w:rPr>
        <w:t>ΔO2Hb\O2HbI</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val="en-US"/>
        </w:rPr>
        <w:t>ΔHHb</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val="en-US"/>
        </w:rPr>
        <w:t>HHb</w:t>
      </w:r>
      <w:r>
        <w:rPr>
          <w:rFonts w:hint="eastAsia" w:ascii="宋体" w:hAnsi="宋体" w:eastAsia="宋体" w:cs="宋体"/>
          <w:color w:val="000000"/>
          <w:sz w:val="24"/>
          <w:szCs w:val="24"/>
          <w:lang w:val="en-US" w:eastAsia="zh-CN"/>
        </w:rPr>
        <w:t>I、</w:t>
      </w:r>
      <w:r>
        <w:rPr>
          <w:rFonts w:hint="eastAsia" w:ascii="宋体" w:hAnsi="宋体" w:eastAsia="宋体" w:cs="宋体"/>
          <w:color w:val="000000"/>
          <w:sz w:val="24"/>
          <w:szCs w:val="24"/>
          <w:lang w:val="en-US"/>
        </w:rPr>
        <w:t>ΔtHb</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val="en-US"/>
        </w:rPr>
        <w:t>tHb</w:t>
      </w:r>
      <w:r>
        <w:rPr>
          <w:rFonts w:hint="eastAsia" w:ascii="宋体" w:hAnsi="宋体" w:eastAsia="宋体" w:cs="宋体"/>
          <w:color w:val="000000"/>
          <w:sz w:val="24"/>
          <w:szCs w:val="24"/>
          <w:lang w:val="en-US" w:eastAsia="zh-CN"/>
        </w:rPr>
        <w:t>I、</w:t>
      </w:r>
      <w:r>
        <w:rPr>
          <w:rFonts w:hint="eastAsia" w:ascii="宋体" w:hAnsi="宋体" w:eastAsia="宋体" w:cs="宋体"/>
          <w:color w:val="000000"/>
          <w:sz w:val="24"/>
          <w:szCs w:val="24"/>
          <w:lang w:val="en-US"/>
        </w:rPr>
        <w:t>ΔtHI\tHI</w:t>
      </w:r>
      <w:r>
        <w:rPr>
          <w:rFonts w:hint="eastAsia" w:ascii="宋体" w:hAnsi="宋体" w:eastAsia="宋体" w:cs="宋体"/>
          <w:color w:val="000000"/>
          <w:sz w:val="24"/>
          <w:szCs w:val="24"/>
          <w:lang w:eastAsia="zh-CN"/>
        </w:rPr>
        <w:t>）</w:t>
      </w:r>
      <w:r>
        <w:rPr>
          <w:rFonts w:hint="eastAsia" w:ascii="宋体" w:hAnsi="宋体" w:eastAsia="宋体" w:cs="宋体"/>
          <w:strike w:val="0"/>
          <w:dstrike w:val="0"/>
          <w:color w:val="000000"/>
          <w:sz w:val="24"/>
          <w:szCs w:val="24"/>
          <w:highlight w:val="none"/>
        </w:rPr>
        <w:t>；</w:t>
      </w:r>
    </w:p>
    <w:p w14:paraId="4E448BD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trike w:val="0"/>
          <w:dstrike w:val="0"/>
          <w:color w:val="000000"/>
          <w:sz w:val="24"/>
          <w:szCs w:val="24"/>
          <w:highlight w:val="none"/>
          <w:lang w:eastAsia="zh-CN"/>
        </w:rPr>
      </w:pPr>
      <w:r>
        <w:rPr>
          <w:rFonts w:hint="eastAsia" w:ascii="宋体" w:hAnsi="宋体" w:eastAsia="宋体" w:cs="宋体"/>
          <w:strike w:val="0"/>
          <w:dstrike w:val="0"/>
          <w:color w:val="000000"/>
          <w:sz w:val="24"/>
          <w:szCs w:val="24"/>
          <w:highlight w:val="none"/>
          <w:lang w:val="en-US" w:eastAsia="zh-CN"/>
        </w:rPr>
        <w:t>10、传感器探测光源</w:t>
      </w:r>
      <w:r>
        <w:rPr>
          <w:rFonts w:hint="eastAsia" w:ascii="宋体" w:hAnsi="宋体" w:eastAsia="宋体" w:cs="宋体"/>
          <w:strike w:val="0"/>
          <w:dstrike w:val="0"/>
          <w:color w:val="000000"/>
          <w:sz w:val="24"/>
          <w:szCs w:val="24"/>
          <w:highlight w:val="none"/>
        </w:rPr>
        <w:t>≥五波长LED、非激光光源</w:t>
      </w:r>
      <w:r>
        <w:rPr>
          <w:rFonts w:hint="eastAsia" w:ascii="宋体" w:hAnsi="宋体" w:eastAsia="宋体" w:cs="宋体"/>
          <w:strike w:val="0"/>
          <w:dstrike w:val="0"/>
          <w:color w:val="000000"/>
          <w:sz w:val="24"/>
          <w:szCs w:val="24"/>
          <w:highlight w:val="none"/>
          <w:lang w:eastAsia="zh-CN"/>
        </w:rPr>
        <w:t>，</w:t>
      </w:r>
      <w:r>
        <w:rPr>
          <w:rFonts w:hint="eastAsia" w:ascii="宋体" w:hAnsi="宋体" w:eastAsia="宋体" w:cs="宋体"/>
          <w:strike w:val="0"/>
          <w:dstrike w:val="0"/>
          <w:color w:val="000000"/>
          <w:sz w:val="24"/>
          <w:szCs w:val="24"/>
          <w:highlight w:val="none"/>
        </w:rPr>
        <w:t>双路光电接收器</w:t>
      </w:r>
      <w:r>
        <w:rPr>
          <w:rFonts w:hint="eastAsia" w:ascii="宋体" w:hAnsi="宋体" w:eastAsia="宋体" w:cs="宋体"/>
          <w:strike w:val="0"/>
          <w:dstrike w:val="0"/>
          <w:color w:val="000000"/>
          <w:sz w:val="24"/>
          <w:szCs w:val="24"/>
          <w:highlight w:val="none"/>
          <w:lang w:eastAsia="zh-CN"/>
        </w:rPr>
        <w:t>；</w:t>
      </w:r>
    </w:p>
    <w:p w14:paraId="677BA55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lang w:val="en-US" w:eastAsia="zh-CN"/>
        </w:rPr>
        <w:t>11、</w:t>
      </w:r>
      <w:r>
        <w:rPr>
          <w:rFonts w:hint="eastAsia" w:ascii="宋体" w:hAnsi="宋体" w:eastAsia="宋体" w:cs="宋体"/>
          <w:strike w:val="0"/>
          <w:dstrike w:val="0"/>
          <w:color w:val="000000"/>
          <w:sz w:val="24"/>
          <w:szCs w:val="24"/>
          <w:highlight w:val="none"/>
        </w:rPr>
        <w:t xml:space="preserve">传感器发射光源集成 </w:t>
      </w:r>
      <w:r>
        <w:rPr>
          <w:rFonts w:hint="eastAsia" w:ascii="宋体" w:hAnsi="宋体" w:eastAsia="宋体" w:cs="宋体"/>
          <w:strike w:val="0"/>
          <w:dstrike w:val="0"/>
          <w:color w:val="000000"/>
          <w:sz w:val="24"/>
          <w:szCs w:val="24"/>
          <w:highlight w:val="none"/>
          <w:lang w:val="en-US" w:eastAsia="zh-CN"/>
        </w:rPr>
        <w:t>≥5</w:t>
      </w:r>
      <w:r>
        <w:rPr>
          <w:rFonts w:hint="eastAsia" w:ascii="宋体" w:hAnsi="宋体" w:eastAsia="宋体" w:cs="宋体"/>
          <w:strike w:val="0"/>
          <w:dstrike w:val="0"/>
          <w:color w:val="000000"/>
          <w:sz w:val="24"/>
          <w:szCs w:val="24"/>
          <w:highlight w:val="none"/>
        </w:rPr>
        <w:t>种波长的发射光源，与 2 个接受器配合可形成，</w:t>
      </w:r>
      <w:r>
        <w:rPr>
          <w:rFonts w:hint="eastAsia" w:ascii="宋体" w:hAnsi="宋体" w:eastAsia="宋体" w:cs="宋体"/>
          <w:strike w:val="0"/>
          <w:dstrike w:val="0"/>
          <w:color w:val="000000"/>
          <w:sz w:val="24"/>
          <w:szCs w:val="24"/>
          <w:highlight w:val="none"/>
          <w:lang w:val="en-US" w:eastAsia="zh-CN"/>
        </w:rPr>
        <w:t>10</w:t>
      </w:r>
      <w:r>
        <w:rPr>
          <w:rFonts w:hint="eastAsia" w:ascii="宋体" w:hAnsi="宋体" w:eastAsia="宋体" w:cs="宋体"/>
          <w:strike w:val="0"/>
          <w:dstrike w:val="0"/>
          <w:color w:val="000000"/>
          <w:sz w:val="24"/>
          <w:szCs w:val="24"/>
          <w:highlight w:val="none"/>
        </w:rPr>
        <w:t>条光源路径</w:t>
      </w:r>
      <w:r>
        <w:rPr>
          <w:rFonts w:hint="eastAsia" w:ascii="宋体" w:hAnsi="宋体" w:eastAsia="宋体" w:cs="宋体"/>
          <w:strike w:val="0"/>
          <w:dstrike w:val="0"/>
          <w:color w:val="000000"/>
          <w:sz w:val="24"/>
          <w:szCs w:val="24"/>
          <w:highlight w:val="none"/>
          <w:lang w:eastAsia="zh-CN"/>
        </w:rPr>
        <w:t>，</w:t>
      </w:r>
      <w:r>
        <w:rPr>
          <w:rFonts w:hint="eastAsia" w:ascii="宋体" w:hAnsi="宋体" w:eastAsia="宋体" w:cs="宋体"/>
          <w:strike w:val="0"/>
          <w:dstrike w:val="0"/>
          <w:color w:val="000000"/>
          <w:sz w:val="24"/>
          <w:szCs w:val="24"/>
          <w:highlight w:val="none"/>
          <w:lang w:val="en-US" w:eastAsia="zh-CN"/>
        </w:rPr>
        <w:t>提供</w:t>
      </w:r>
      <w:r>
        <w:rPr>
          <w:rFonts w:hint="eastAsia" w:ascii="宋体" w:hAnsi="宋体" w:eastAsia="宋体" w:cs="宋体"/>
          <w:strike w:val="0"/>
          <w:dstrike w:val="0"/>
          <w:color w:val="000000"/>
          <w:sz w:val="24"/>
          <w:szCs w:val="24"/>
          <w:highlight w:val="none"/>
          <w:lang w:eastAsia="zh-CN"/>
        </w:rPr>
        <w:t>使用说明书、企业承诺</w:t>
      </w:r>
      <w:r>
        <w:rPr>
          <w:rFonts w:hint="eastAsia" w:ascii="宋体" w:hAnsi="宋体" w:eastAsia="宋体" w:cs="宋体"/>
          <w:strike w:val="0"/>
          <w:dstrike w:val="0"/>
          <w:color w:val="000000"/>
          <w:sz w:val="24"/>
          <w:szCs w:val="24"/>
          <w:highlight w:val="none"/>
          <w:lang w:val="en-US" w:eastAsia="zh-CN"/>
        </w:rPr>
        <w:t>证明</w:t>
      </w:r>
      <w:r>
        <w:rPr>
          <w:rFonts w:hint="eastAsia" w:ascii="宋体" w:hAnsi="宋体" w:eastAsia="宋体" w:cs="宋体"/>
          <w:strike w:val="0"/>
          <w:dstrike w:val="0"/>
          <w:color w:val="000000"/>
          <w:sz w:val="24"/>
          <w:szCs w:val="24"/>
          <w:highlight w:val="none"/>
          <w:lang w:eastAsia="zh-CN"/>
        </w:rPr>
        <w:t>；</w:t>
      </w:r>
    </w:p>
    <w:p w14:paraId="70E77E6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trike w:val="0"/>
          <w:dstrike w:val="0"/>
          <w:color w:val="000000"/>
          <w:sz w:val="24"/>
          <w:szCs w:val="24"/>
          <w:highlight w:val="none"/>
          <w:lang w:eastAsia="zh-CN"/>
        </w:rPr>
      </w:pPr>
      <w:r>
        <w:rPr>
          <w:rFonts w:hint="eastAsia" w:ascii="宋体" w:hAnsi="宋体" w:eastAsia="宋体" w:cs="宋体"/>
          <w:strike w:val="0"/>
          <w:dstrike w:val="0"/>
          <w:color w:val="000000"/>
          <w:sz w:val="24"/>
          <w:szCs w:val="24"/>
          <w:highlight w:val="none"/>
          <w:lang w:val="en-US" w:eastAsia="zh-CN"/>
        </w:rPr>
        <w:t>12、</w:t>
      </w:r>
      <w:r>
        <w:rPr>
          <w:rFonts w:hint="eastAsia" w:ascii="宋体" w:hAnsi="宋体" w:eastAsia="宋体" w:cs="宋体"/>
          <w:strike w:val="0"/>
          <w:dstrike w:val="0"/>
          <w:color w:val="000000"/>
          <w:sz w:val="24"/>
          <w:szCs w:val="24"/>
          <w:highlight w:val="none"/>
        </w:rPr>
        <w:t>具有≥10种型号的一次性/重复性传感器可选：大号传感器、中号传感器均配套专用替换凝胶，专用凝胶替换工具，专用辅助固定头带</w:t>
      </w:r>
      <w:r>
        <w:rPr>
          <w:rFonts w:hint="eastAsia" w:ascii="宋体" w:hAnsi="宋体" w:eastAsia="宋体" w:cs="宋体"/>
          <w:strike w:val="0"/>
          <w:dstrike w:val="0"/>
          <w:color w:val="000000"/>
          <w:sz w:val="24"/>
          <w:szCs w:val="24"/>
          <w:highlight w:val="none"/>
          <w:lang w:eastAsia="zh-CN"/>
        </w:rPr>
        <w:t>；</w:t>
      </w:r>
    </w:p>
    <w:p w14:paraId="338056D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lang w:val="en-US" w:eastAsia="zh-CN"/>
        </w:rPr>
        <w:t>13、</w:t>
      </w:r>
      <w:r>
        <w:rPr>
          <w:rFonts w:hint="eastAsia" w:ascii="宋体" w:hAnsi="宋体" w:eastAsia="宋体" w:cs="宋体"/>
          <w:strike w:val="0"/>
          <w:dstrike w:val="0"/>
          <w:color w:val="000000"/>
          <w:sz w:val="24"/>
          <w:szCs w:val="24"/>
          <w:highlight w:val="none"/>
        </w:rPr>
        <w:t>测量精准度</w:t>
      </w:r>
      <w:r>
        <w:rPr>
          <w:rFonts w:hint="eastAsia" w:ascii="宋体" w:hAnsi="宋体" w:eastAsia="宋体" w:cs="宋体"/>
          <w:strike w:val="0"/>
          <w:dstrike w:val="0"/>
          <w:color w:val="000000"/>
          <w:sz w:val="24"/>
          <w:szCs w:val="24"/>
          <w:highlight w:val="none"/>
          <w:lang w:eastAsia="zh-CN"/>
        </w:rPr>
        <w:t>：相对于颈内静脉与桡动脉氧饱和度值的加权值相关系数为0.9</w:t>
      </w:r>
      <w:r>
        <w:rPr>
          <w:rFonts w:hint="eastAsia" w:ascii="宋体" w:hAnsi="宋体" w:eastAsia="宋体" w:cs="宋体"/>
          <w:strike w:val="0"/>
          <w:dstrike w:val="0"/>
          <w:color w:val="000000"/>
          <w:sz w:val="24"/>
          <w:szCs w:val="24"/>
          <w:highlight w:val="none"/>
          <w:lang w:val="en-US" w:eastAsia="zh-CN"/>
        </w:rPr>
        <w:t>72</w:t>
      </w:r>
      <w:r>
        <w:rPr>
          <w:rFonts w:hint="eastAsia" w:ascii="宋体" w:hAnsi="宋体" w:eastAsia="宋体" w:cs="宋体"/>
          <w:strike w:val="0"/>
          <w:dstrike w:val="0"/>
          <w:color w:val="000000"/>
          <w:sz w:val="24"/>
          <w:szCs w:val="24"/>
          <w:highlight w:val="none"/>
          <w:lang w:eastAsia="zh-CN"/>
        </w:rPr>
        <w:t>，标准差≤2.</w:t>
      </w:r>
      <w:r>
        <w:rPr>
          <w:rFonts w:hint="eastAsia" w:ascii="宋体" w:hAnsi="宋体" w:eastAsia="宋体" w:cs="宋体"/>
          <w:strike w:val="0"/>
          <w:dstrike w:val="0"/>
          <w:color w:val="000000"/>
          <w:sz w:val="24"/>
          <w:szCs w:val="24"/>
          <w:highlight w:val="none"/>
          <w:lang w:val="en-US" w:eastAsia="zh-CN"/>
        </w:rPr>
        <w:t>2</w:t>
      </w:r>
      <w:r>
        <w:rPr>
          <w:rFonts w:hint="eastAsia" w:ascii="宋体" w:hAnsi="宋体" w:eastAsia="宋体" w:cs="宋体"/>
          <w:strike w:val="0"/>
          <w:dstrike w:val="0"/>
          <w:color w:val="000000"/>
          <w:sz w:val="24"/>
          <w:szCs w:val="24"/>
          <w:highlight w:val="none"/>
          <w:lang w:eastAsia="zh-CN"/>
        </w:rPr>
        <w:t>%，偏差≤0.25%；</w:t>
      </w:r>
    </w:p>
    <w:p w14:paraId="7EE02B5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lang w:val="en-US" w:eastAsia="zh-CN"/>
        </w:rPr>
        <w:t>14、配套专用的电脑端数据监测与处理软件，包含：实时数据大屏显示、数据处理与分析平台、病例报告输出等；</w:t>
      </w:r>
    </w:p>
    <w:p w14:paraId="5532529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采样及刷新频率：采样频率≥100Hz，刷新频率≤1秒/次</w:t>
      </w:r>
      <w:r>
        <w:rPr>
          <w:rFonts w:hint="eastAsia" w:ascii="宋体" w:hAnsi="宋体" w:eastAsia="宋体" w:cs="宋体"/>
          <w:color w:val="000000"/>
          <w:sz w:val="24"/>
          <w:szCs w:val="24"/>
          <w:lang w:eastAsia="zh-CN"/>
        </w:rPr>
        <w:t>；</w:t>
      </w:r>
    </w:p>
    <w:p w14:paraId="442EA16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16、</w:t>
      </w:r>
      <w:r>
        <w:rPr>
          <w:rFonts w:hint="eastAsia" w:ascii="宋体" w:hAnsi="宋体" w:eastAsia="宋体" w:cs="宋体"/>
          <w:color w:val="000000"/>
          <w:sz w:val="24"/>
          <w:szCs w:val="24"/>
        </w:rPr>
        <w:t>具备≥3种操作方式：触摸屏+实体快捷键+手势交互多模式操作；可以根据个人的工作习惯和需要，设置常用热键</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交互界面：可选中文及英文交互界面；</w:t>
      </w:r>
    </w:p>
    <w:p w14:paraId="3D27CB8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17、</w:t>
      </w:r>
      <w:r>
        <w:rPr>
          <w:rFonts w:hint="eastAsia" w:ascii="宋体" w:hAnsi="宋体" w:eastAsia="宋体" w:cs="宋体"/>
          <w:color w:val="000000"/>
          <w:sz w:val="24"/>
          <w:szCs w:val="24"/>
        </w:rPr>
        <w:t>测量过程中可标记事件，事件应用场景≥6个</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包括手术室、ICU、血管、NICU、PICU、NSICU等。每种场景≥80个事件</w:t>
      </w:r>
      <w:r>
        <w:rPr>
          <w:rFonts w:hint="eastAsia" w:ascii="宋体" w:hAnsi="宋体" w:eastAsia="宋体" w:cs="宋体"/>
          <w:color w:val="000000"/>
          <w:sz w:val="24"/>
          <w:szCs w:val="24"/>
          <w:lang w:val="en-US" w:eastAsia="zh-CN"/>
        </w:rPr>
        <w:t>标签</w:t>
      </w:r>
      <w:r>
        <w:rPr>
          <w:rFonts w:hint="eastAsia" w:ascii="宋体" w:hAnsi="宋体" w:eastAsia="宋体" w:cs="宋体"/>
          <w:color w:val="000000"/>
          <w:sz w:val="24"/>
          <w:szCs w:val="24"/>
        </w:rPr>
        <w:t>，合计≥480个标签</w:t>
      </w:r>
      <w:r>
        <w:rPr>
          <w:rFonts w:hint="eastAsia" w:ascii="宋体" w:hAnsi="宋体" w:eastAsia="宋体" w:cs="宋体"/>
          <w:color w:val="000000"/>
          <w:sz w:val="24"/>
          <w:szCs w:val="24"/>
          <w:lang w:eastAsia="zh-CN"/>
        </w:rPr>
        <w:t>；</w:t>
      </w:r>
    </w:p>
    <w:p w14:paraId="0C24A64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18、</w:t>
      </w:r>
      <w:r>
        <w:rPr>
          <w:rFonts w:hint="eastAsia" w:ascii="宋体" w:hAnsi="宋体" w:eastAsia="宋体" w:cs="宋体"/>
          <w:color w:val="000000"/>
          <w:sz w:val="24"/>
          <w:szCs w:val="24"/>
        </w:rPr>
        <w:t>可以在测量状态或非测量状态下快速回顾历史标记事件；并具备自定义设置、查询、打印功能：可以按病人姓名、年龄、检测医生、测量部位等信息自定义设置、查询及打印等；</w:t>
      </w:r>
    </w:p>
    <w:p w14:paraId="36241A1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trike/>
          <w:dstrike w:val="0"/>
          <w:color w:val="000000"/>
          <w:sz w:val="24"/>
          <w:szCs w:val="24"/>
          <w:highlight w:val="yellow"/>
          <w:lang w:eastAsia="zh-CN"/>
        </w:rPr>
      </w:pPr>
      <w:r>
        <w:rPr>
          <w:rFonts w:hint="eastAsia" w:ascii="宋体" w:hAnsi="宋体" w:eastAsia="宋体" w:cs="宋体"/>
          <w:color w:val="000000"/>
          <w:sz w:val="24"/>
          <w:szCs w:val="24"/>
          <w:lang w:val="en-US" w:eastAsia="zh-CN"/>
        </w:rPr>
        <w:t>19、</w:t>
      </w:r>
      <w:r>
        <w:rPr>
          <w:rFonts w:hint="eastAsia" w:ascii="宋体" w:hAnsi="宋体" w:eastAsia="宋体" w:cs="宋体"/>
          <w:color w:val="000000"/>
          <w:sz w:val="24"/>
          <w:szCs w:val="24"/>
        </w:rPr>
        <w:t>有垂直标线功能</w:t>
      </w:r>
      <w:r>
        <w:rPr>
          <w:rFonts w:hint="eastAsia" w:ascii="宋体" w:hAnsi="宋体" w:eastAsia="宋体" w:cs="宋体"/>
          <w:color w:val="000000"/>
          <w:sz w:val="24"/>
          <w:szCs w:val="24"/>
          <w:lang w:eastAsia="zh-CN"/>
        </w:rPr>
        <w:t>；</w:t>
      </w:r>
    </w:p>
    <w:p w14:paraId="5B44217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趋势线的纵轴</w:t>
      </w:r>
      <w:r>
        <w:rPr>
          <w:rFonts w:hint="eastAsia" w:ascii="宋体" w:hAnsi="宋体" w:eastAsia="宋体" w:cs="宋体"/>
          <w:color w:val="000000"/>
          <w:sz w:val="24"/>
          <w:szCs w:val="24"/>
          <w:lang w:val="en-US" w:eastAsia="zh-CN"/>
        </w:rPr>
        <w:t>设置区间</w:t>
      </w:r>
      <w:r>
        <w:rPr>
          <w:rFonts w:hint="eastAsia" w:ascii="宋体" w:hAnsi="宋体" w:eastAsia="宋体" w:cs="宋体"/>
          <w:color w:val="000000"/>
          <w:sz w:val="24"/>
          <w:szCs w:val="24"/>
        </w:rPr>
        <w:t>：0-100，横轴</w:t>
      </w:r>
      <w:r>
        <w:rPr>
          <w:rFonts w:hint="eastAsia" w:ascii="宋体" w:hAnsi="宋体" w:eastAsia="宋体" w:cs="宋体"/>
          <w:color w:val="000000"/>
          <w:sz w:val="24"/>
          <w:szCs w:val="24"/>
          <w:lang w:val="en-US" w:eastAsia="zh-CN"/>
        </w:rPr>
        <w:t>设置区间</w:t>
      </w:r>
      <w:r>
        <w:rPr>
          <w:rFonts w:hint="eastAsia" w:ascii="宋体" w:hAnsi="宋体" w:eastAsia="宋体" w:cs="宋体"/>
          <w:color w:val="000000"/>
          <w:sz w:val="24"/>
          <w:szCs w:val="24"/>
        </w:rPr>
        <w:t>：1min-24h；</w:t>
      </w:r>
    </w:p>
    <w:p w14:paraId="3D47DBC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21、</w:t>
      </w:r>
      <w:r>
        <w:rPr>
          <w:rFonts w:hint="eastAsia" w:ascii="宋体" w:hAnsi="宋体" w:eastAsia="宋体" w:cs="宋体"/>
          <w:color w:val="000000"/>
          <w:sz w:val="24"/>
          <w:szCs w:val="24"/>
        </w:rPr>
        <w:t>具有界面合并功能，可以同时让≥2个通道或≥4个通道的数据在同一个示数框内显示；</w:t>
      </w:r>
    </w:p>
    <w:p w14:paraId="24234BF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22、</w:t>
      </w:r>
      <w:r>
        <w:rPr>
          <w:rFonts w:hint="eastAsia" w:ascii="宋体" w:hAnsi="宋体" w:eastAsia="宋体" w:cs="宋体"/>
          <w:color w:val="000000"/>
          <w:sz w:val="24"/>
          <w:szCs w:val="24"/>
        </w:rPr>
        <w:t>连续监测时间≥5000小时，每≤2秒可储存一次数据；可存储≥200万条病人资料；</w:t>
      </w:r>
    </w:p>
    <w:p w14:paraId="470DB91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23、</w:t>
      </w:r>
      <w:r>
        <w:rPr>
          <w:rFonts w:hint="eastAsia" w:ascii="宋体" w:hAnsi="宋体" w:eastAsia="宋体" w:cs="宋体"/>
          <w:color w:val="000000"/>
          <w:sz w:val="24"/>
          <w:szCs w:val="24"/>
        </w:rPr>
        <w:t>具有双USB接口，可通过USB接口进行数据传输、系统升级等功能；具有DVI视频输出接口</w:t>
      </w:r>
      <w:r>
        <w:rPr>
          <w:rFonts w:hint="eastAsia" w:ascii="宋体" w:hAnsi="宋体" w:eastAsia="宋体" w:cs="宋体"/>
          <w:color w:val="000000"/>
          <w:sz w:val="24"/>
          <w:szCs w:val="24"/>
          <w:lang w:eastAsia="zh-CN"/>
        </w:rPr>
        <w:t>；</w:t>
      </w:r>
    </w:p>
    <w:p w14:paraId="68501D2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24、</w:t>
      </w:r>
      <w:r>
        <w:rPr>
          <w:rFonts w:hint="eastAsia" w:ascii="宋体" w:hAnsi="宋体" w:eastAsia="宋体" w:cs="宋体"/>
          <w:color w:val="000000"/>
          <w:sz w:val="24"/>
          <w:szCs w:val="24"/>
        </w:rPr>
        <w:t>具有皮肤检查功能，自检时长可设置1-12小时</w:t>
      </w:r>
      <w:r>
        <w:rPr>
          <w:rFonts w:hint="eastAsia" w:ascii="宋体" w:hAnsi="宋体" w:eastAsia="宋体" w:cs="宋体"/>
          <w:color w:val="000000"/>
          <w:sz w:val="24"/>
          <w:szCs w:val="24"/>
          <w:lang w:eastAsia="zh-CN"/>
        </w:rPr>
        <w:t>。</w:t>
      </w:r>
    </w:p>
    <w:p w14:paraId="004093CA">
      <w:pPr>
        <w:pStyle w:val="2"/>
        <w:rPr>
          <w:rFonts w:hint="eastAsia" w:ascii="宋体" w:hAnsi="宋体" w:eastAsia="宋体" w:cs="宋体"/>
          <w:color w:val="000000"/>
          <w:sz w:val="24"/>
          <w:szCs w:val="24"/>
          <w:lang w:eastAsia="zh-CN"/>
        </w:rPr>
      </w:pPr>
    </w:p>
    <w:p w14:paraId="4D09FD64">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序号2  血流动力学分析仪</w:t>
      </w:r>
    </w:p>
    <w:p w14:paraId="3284372A">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（一）设备用途：</w:t>
      </w:r>
    </w:p>
    <w:p w14:paraId="09380A8B">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1、应用范围：对患者的血流动力学进行监测，特别适用于特殊患者如：体重≥1kg以上的新生儿及儿童、主动脉内球囊反搏泵治疗的患者等。</w:t>
      </w:r>
    </w:p>
    <w:p w14:paraId="685E8147">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（二）技术参数</w:t>
      </w:r>
    </w:p>
    <w:p w14:paraId="59257645">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1.1基本要求</w:t>
      </w:r>
    </w:p>
    <w:p w14:paraId="06016397">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1、功能要求：通过微创监测模式实现实时连续血流动力学监测。</w:t>
      </w:r>
    </w:p>
    <w:p w14:paraId="28AC2904">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2、工作原理：采用脉搏能量分析法进行计算，通过对连续动脉压进行计算，获得实时连续血流动力学参数。</w:t>
      </w:r>
    </w:p>
    <w:p w14:paraId="4ADFE507">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3、监测方式：微创模式：通过三通数据线获取有创动脉压力传感器获取动脉压力数据进行分析。</w:t>
      </w:r>
    </w:p>
    <w:p w14:paraId="732A60B8">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4、数据显示频率为逐搏测量（每次心跳均有一组数据）。</w:t>
      </w:r>
    </w:p>
    <w:p w14:paraId="26C9C9AA">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5、均无须专属耗材。</w:t>
      </w:r>
    </w:p>
    <w:p w14:paraId="12BEAF4B">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6、事件应答：在显示界面具有SV、MAP、HP、SVR、CO变化率窗口，在液体容量试验之后，直接显示结果。</w:t>
      </w:r>
    </w:p>
    <w:p w14:paraId="368B7B77">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7、图形显示：在显示界面上可同时显示≥4个趋势图及目标框图、条形图界面，可标注参数基线及自定义范围。</w:t>
      </w:r>
    </w:p>
    <w:p w14:paraId="1608214B">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8、具有内置容量负荷试验流程临床指导方案≥3种。</w:t>
      </w:r>
    </w:p>
    <w:p w14:paraId="5B77C469">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9、屏幕拍照：具备一键截屏功能。</w:t>
      </w:r>
    </w:p>
    <w:p w14:paraId="69A24C03">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10、数据图显示：可回顾本患者所有瞬时数据值。</w:t>
      </w:r>
    </w:p>
    <w:p w14:paraId="47824042">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11、可进行日间/夜间模式切换。</w:t>
      </w:r>
    </w:p>
    <w:p w14:paraId="17B901F1">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12、数据下载：读取软件实时还原监测数据、波形图及操作情况；可通过4个USB串口导出Excel数据文件。</w:t>
      </w:r>
    </w:p>
    <w:p w14:paraId="2E8970AB">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13、数据存储：可提供数据存储（≥16G）。</w:t>
      </w:r>
    </w:p>
    <w:p w14:paraId="10E9219E">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14、报警系统：具备可自拟、可关闭的临床参数报警系统，具备设备自检报警系统。</w:t>
      </w:r>
    </w:p>
    <w:p w14:paraId="383EE7BD">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15、显示屏尺寸≥17寸，全触屏操作，支持分屏，支持HDMI，支持投影。</w:t>
      </w:r>
    </w:p>
    <w:p w14:paraId="0D1DBDEA">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16、内置电池标准续航至少≥6小时。</w:t>
      </w:r>
    </w:p>
    <w:p w14:paraId="0ABA2B82">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17、支持TCP/IP、HL7通讯协议，可与医院信息化系统链接。</w:t>
      </w:r>
    </w:p>
    <w:p w14:paraId="1557E062">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18、基础参数：平均动脉压（MAP）、收缩压（Sys）、舒张压（Dia）、心率（HR）、心率变异度（HRV）。</w:t>
      </w:r>
    </w:p>
    <w:p w14:paraId="2066F6AC">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19、心功能参数：心输出量（CO）、心输出量指数（CI）、每搏输出量（SV）、每搏输出量指数（SVI）、外周血管阻力（SVR）、外周血管阻力指数（SVRI）。</w:t>
      </w:r>
    </w:p>
    <w:p w14:paraId="6F38073D">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20、容量应答参数：脉压变异度（PPV）、毎搏输出量变异度（SVV）、每搏量增加率（△SV）、心输出量增加率（△CO）、平均动脉压增加率（△MAP）、心率增加率（△HR）、外周阻力增加率（△SVR）。</w:t>
      </w:r>
    </w:p>
    <w:p w14:paraId="31079574">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21、氧代谢参数：氧供量（DO2）、氧供量指数（DO2I）、氧耗量（VO2）、氧耗量指数（VO2I）。</w:t>
      </w:r>
    </w:p>
    <w:p w14:paraId="5577580E">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22、随主机配备报告工作站，无需拷贝监测数据可直接打印监测报告单。</w:t>
      </w:r>
    </w:p>
    <w:p w14:paraId="7DCEEBC1">
      <w:pPr>
        <w:pStyle w:val="2"/>
        <w:jc w:val="left"/>
        <w:rPr>
          <w:rFonts w:hint="eastAsia" w:ascii="宋体" w:hAnsi="宋体" w:eastAsia="宋体" w:cs="宋体"/>
          <w:b w:val="0"/>
          <w:bCs w:val="0"/>
          <w:color w:val="000000"/>
          <w:sz w:val="24"/>
          <w:szCs w:val="24"/>
          <w:lang w:val="en-US" w:eastAsia="zh-CN"/>
        </w:rPr>
      </w:pPr>
    </w:p>
    <w:p w14:paraId="603BE383">
      <w:pPr>
        <w:pStyle w:val="2"/>
        <w:jc w:val="left"/>
        <w:rPr>
          <w:rFonts w:hint="eastAsia" w:ascii="宋体" w:hAnsi="宋体" w:eastAsia="宋体" w:cs="宋体"/>
          <w:b w:val="0"/>
          <w:bCs w:val="0"/>
          <w:color w:val="000000"/>
          <w:sz w:val="24"/>
          <w:szCs w:val="24"/>
          <w:lang w:val="en-US" w:eastAsia="zh-CN"/>
        </w:rPr>
      </w:pPr>
    </w:p>
    <w:p w14:paraId="4118F723">
      <w:pPr>
        <w:keepNext w:val="0"/>
        <w:keepLines w:val="0"/>
        <w:pageBreakBefore w:val="0"/>
        <w:kinsoku/>
        <w:wordWrap/>
        <w:overflowPunct/>
        <w:topLinePunct w:val="0"/>
        <w:autoSpaceDN/>
        <w:bidi w:val="0"/>
        <w:adjustRightInd/>
        <w:snapToGrid/>
        <w:spacing w:line="360" w:lineRule="auto"/>
        <w:jc w:val="left"/>
        <w:textAlignment w:val="auto"/>
        <w:outlineLvl w:val="0"/>
        <w:rPr>
          <w:rFonts w:hint="eastAsia" w:ascii="宋体" w:hAnsi="宋体" w:eastAsia="宋体" w:cs="宋体"/>
          <w:b/>
          <w:bCs/>
          <w:color w:val="000000"/>
          <w:kern w:val="0"/>
          <w:sz w:val="24"/>
          <w:szCs w:val="24"/>
        </w:rPr>
      </w:pPr>
    </w:p>
    <w:p w14:paraId="54CF9E6C">
      <w:pPr>
        <w:keepNext w:val="0"/>
        <w:keepLines w:val="0"/>
        <w:pageBreakBefore w:val="0"/>
        <w:kinsoku/>
        <w:wordWrap/>
        <w:overflowPunct/>
        <w:topLinePunct w:val="0"/>
        <w:autoSpaceDN/>
        <w:bidi w:val="0"/>
        <w:adjustRightInd/>
        <w:snapToGrid/>
        <w:spacing w:line="360" w:lineRule="auto"/>
        <w:jc w:val="left"/>
        <w:textAlignment w:val="auto"/>
        <w:outlineLvl w:val="0"/>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三、商务要求</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lang w:val="en-US" w:eastAsia="zh-CN"/>
        </w:rPr>
        <w:t>标注</w:t>
      </w:r>
      <w:r>
        <w:rPr>
          <w:rFonts w:hint="eastAsia" w:ascii="宋体" w:hAnsi="宋体" w:eastAsia="宋体" w:cs="宋体"/>
          <w:b/>
          <w:bCs/>
          <w:color w:val="000000"/>
          <w:kern w:val="0"/>
          <w:sz w:val="24"/>
          <w:szCs w:val="24"/>
        </w:rPr>
        <w:t>★</w:t>
      </w:r>
      <w:r>
        <w:rPr>
          <w:rFonts w:hint="eastAsia" w:ascii="宋体" w:hAnsi="宋体" w:eastAsia="宋体" w:cs="宋体"/>
          <w:b/>
          <w:bCs/>
          <w:color w:val="000000"/>
          <w:kern w:val="0"/>
          <w:sz w:val="24"/>
          <w:szCs w:val="24"/>
          <w:lang w:val="en-US" w:eastAsia="zh-CN"/>
        </w:rPr>
        <w:t>为不允许偏离的实质性条款，负偏离做废标处理</w:t>
      </w:r>
      <w:r>
        <w:rPr>
          <w:rFonts w:hint="eastAsia" w:ascii="宋体" w:hAnsi="宋体" w:eastAsia="宋体" w:cs="宋体"/>
          <w:b/>
          <w:bCs/>
          <w:color w:val="000000"/>
          <w:kern w:val="0"/>
          <w:sz w:val="24"/>
          <w:szCs w:val="24"/>
          <w:lang w:eastAsia="zh-CN"/>
        </w:rPr>
        <w:t>）</w:t>
      </w:r>
    </w:p>
    <w:p w14:paraId="743B3078">
      <w:pPr>
        <w:keepNext w:val="0"/>
        <w:keepLines w:val="0"/>
        <w:pageBreakBefore w:val="0"/>
        <w:kinsoku/>
        <w:wordWrap/>
        <w:overflowPunct/>
        <w:topLinePunct w:val="0"/>
        <w:autoSpaceDN/>
        <w:bidi w:val="0"/>
        <w:adjustRightInd/>
        <w:snapToGrid/>
        <w:spacing w:line="360" w:lineRule="auto"/>
        <w:jc w:val="left"/>
        <w:textAlignment w:val="auto"/>
        <w:outlineLvl w:val="0"/>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★1、交货期：</w:t>
      </w:r>
      <w:r>
        <w:rPr>
          <w:rFonts w:hint="eastAsia" w:ascii="宋体" w:hAnsi="宋体" w:eastAsia="宋体" w:cs="宋体"/>
          <w:color w:val="000000"/>
          <w:kern w:val="0"/>
          <w:sz w:val="24"/>
          <w:szCs w:val="24"/>
          <w:lang w:val="en-US" w:eastAsia="zh-CN"/>
        </w:rPr>
        <w:t>合同签订后</w:t>
      </w:r>
      <w:r>
        <w:rPr>
          <w:rFonts w:hint="eastAsia" w:ascii="宋体" w:hAnsi="宋体" w:eastAsia="宋体" w:cs="宋体"/>
          <w:color w:val="000000"/>
          <w:kern w:val="0"/>
          <w:sz w:val="24"/>
          <w:szCs w:val="24"/>
        </w:rPr>
        <w:t>30天</w:t>
      </w:r>
      <w:r>
        <w:rPr>
          <w:rFonts w:hint="eastAsia" w:ascii="宋体" w:hAnsi="宋体" w:eastAsia="宋体" w:cs="宋体"/>
          <w:color w:val="000000"/>
          <w:kern w:val="0"/>
          <w:sz w:val="24"/>
          <w:szCs w:val="24"/>
          <w:lang w:val="en-US" w:eastAsia="zh-CN"/>
        </w:rPr>
        <w:t>内完成交货、安装调试及验收。</w:t>
      </w:r>
    </w:p>
    <w:p w14:paraId="7CADA014">
      <w:pPr>
        <w:keepNext w:val="0"/>
        <w:keepLines w:val="0"/>
        <w:pageBreakBefore w:val="0"/>
        <w:kinsoku/>
        <w:wordWrap/>
        <w:overflowPunct/>
        <w:topLinePunct w:val="0"/>
        <w:autoSpaceDN/>
        <w:bidi w:val="0"/>
        <w:adjustRightInd/>
        <w:snapToGrid/>
        <w:spacing w:line="360" w:lineRule="auto"/>
        <w:jc w:val="left"/>
        <w:textAlignment w:val="auto"/>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★2、交货及安装地点：采购方指定地点。</w:t>
      </w:r>
    </w:p>
    <w:p w14:paraId="1CDAE508">
      <w:pPr>
        <w:keepNext w:val="0"/>
        <w:keepLines w:val="0"/>
        <w:pageBreakBefore w:val="0"/>
        <w:kinsoku/>
        <w:wordWrap/>
        <w:overflowPunct/>
        <w:topLinePunct w:val="0"/>
        <w:autoSpaceDN/>
        <w:bidi w:val="0"/>
        <w:adjustRightInd/>
        <w:snapToGrid/>
        <w:spacing w:line="360" w:lineRule="auto"/>
        <w:jc w:val="left"/>
        <w:textAlignment w:val="auto"/>
        <w:outlineLvl w:val="0"/>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★3、付款方式和条件：</w:t>
      </w:r>
      <w:r>
        <w:rPr>
          <w:rFonts w:hint="eastAsia" w:ascii="宋体" w:hAnsi="宋体" w:eastAsia="宋体" w:cs="宋体"/>
          <w:color w:val="000000"/>
          <w:kern w:val="0"/>
          <w:sz w:val="24"/>
          <w:szCs w:val="24"/>
          <w:lang w:val="en-US" w:eastAsia="zh-CN"/>
        </w:rPr>
        <w:t>签订协议时，双方自行协商。</w:t>
      </w:r>
    </w:p>
    <w:p w14:paraId="5BD65A01">
      <w:pPr>
        <w:keepNext w:val="0"/>
        <w:keepLines w:val="0"/>
        <w:pageBreakBefore w:val="0"/>
        <w:kinsoku/>
        <w:wordWrap/>
        <w:overflowPunct/>
        <w:topLinePunct w:val="0"/>
        <w:autoSpaceDN/>
        <w:bidi w:val="0"/>
        <w:adjustRightInd/>
        <w:snapToGrid/>
        <w:spacing w:line="360" w:lineRule="auto"/>
        <w:jc w:val="left"/>
        <w:textAlignment w:val="auto"/>
        <w:outlineLvl w:val="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★4、质保期：</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年。</w:t>
      </w:r>
    </w:p>
    <w:p w14:paraId="62789878">
      <w:pPr>
        <w:keepNext w:val="0"/>
        <w:keepLines w:val="0"/>
        <w:pageBreakBefore w:val="0"/>
        <w:kinsoku/>
        <w:wordWrap/>
        <w:overflowPunct/>
        <w:topLinePunct w:val="0"/>
        <w:autoSpaceDN/>
        <w:bidi w:val="0"/>
        <w:adjustRightInd/>
        <w:snapToGrid/>
        <w:spacing w:line="360" w:lineRule="auto"/>
        <w:jc w:val="left"/>
        <w:textAlignment w:val="auto"/>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5、验收标准、规范及方式：（招标文件“第五章 采购需求/技术参数（规格）要求”中有特殊要求的按其执行）</w:t>
      </w:r>
    </w:p>
    <w:p w14:paraId="18F97EC3">
      <w:pPr>
        <w:keepNext w:val="0"/>
        <w:keepLines w:val="0"/>
        <w:pageBreakBefore w:val="0"/>
        <w:kinsoku/>
        <w:wordWrap/>
        <w:overflowPunct/>
        <w:topLinePunct w:val="0"/>
        <w:autoSpaceDN/>
        <w:bidi w:val="0"/>
        <w:adjustRightInd/>
        <w:snapToGrid/>
        <w:spacing w:line="360" w:lineRule="auto"/>
        <w:jc w:val="left"/>
        <w:textAlignment w:val="auto"/>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5.1、采购人将按照竞争性谈判文件、响应文件、数量及双方签订的合同组进行验收，验收过程中如需第三方机构介入，所产生的费用由投标人自行承担。（采购人只对安全到达指定地点的合格产品进行验收，运输过程中的安全及质量损坏、数量损失由供应商自行负责）</w:t>
      </w:r>
    </w:p>
    <w:p w14:paraId="004BA13A">
      <w:pPr>
        <w:keepNext w:val="0"/>
        <w:keepLines w:val="0"/>
        <w:pageBreakBefore w:val="0"/>
        <w:kinsoku/>
        <w:wordWrap/>
        <w:overflowPunct/>
        <w:topLinePunct w:val="0"/>
        <w:autoSpaceDN/>
        <w:bidi w:val="0"/>
        <w:adjustRightInd/>
        <w:snapToGrid/>
        <w:spacing w:line="360" w:lineRule="auto"/>
        <w:jc w:val="left"/>
        <w:textAlignment w:val="auto"/>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5.2、在验收时，若发现提供产品与招、投标文件技术参数不符者，甲方将不予验收并向乙方追究相关责任。</w:t>
      </w:r>
    </w:p>
    <w:p w14:paraId="628E2C69">
      <w:pPr>
        <w:keepNext w:val="0"/>
        <w:keepLines w:val="0"/>
        <w:pageBreakBefore w:val="0"/>
        <w:kinsoku/>
        <w:wordWrap/>
        <w:overflowPunct/>
        <w:topLinePunct w:val="0"/>
        <w:autoSpaceDN/>
        <w:bidi w:val="0"/>
        <w:adjustRightInd/>
        <w:snapToGrid/>
        <w:spacing w:line="360" w:lineRule="auto"/>
        <w:jc w:val="left"/>
        <w:textAlignment w:val="auto"/>
        <w:outlineLvl w:val="0"/>
        <w:rPr>
          <w:rFonts w:ascii="宋体" w:hAnsi="宋体" w:cs="宋体"/>
          <w:color w:val="000000"/>
          <w:kern w:val="0"/>
          <w:sz w:val="24"/>
          <w:szCs w:val="24"/>
          <w:highlight w:val="yellow"/>
        </w:rPr>
      </w:pPr>
      <w:r>
        <w:rPr>
          <w:rFonts w:hint="eastAsia" w:ascii="宋体" w:hAnsi="宋体" w:cs="宋体"/>
          <w:color w:val="000000"/>
          <w:kern w:val="0"/>
          <w:sz w:val="24"/>
          <w:szCs w:val="24"/>
        </w:rPr>
        <w:t>5.3、投标供应商提供的投标产品必须符合国家标准，必须为投标品名的原厂正品，并附有厂家的检验合格证或保修单。</w:t>
      </w:r>
    </w:p>
    <w:p w14:paraId="513D3B17">
      <w:pPr>
        <w:keepNext w:val="0"/>
        <w:keepLines w:val="0"/>
        <w:pageBreakBefore w:val="0"/>
        <w:widowControl/>
        <w:shd w:val="clear" w:color="auto" w:fill="FFFFFF"/>
        <w:kinsoku/>
        <w:wordWrap/>
        <w:overflowPunct/>
        <w:topLinePunct w:val="0"/>
        <w:autoSpaceDN/>
        <w:bidi w:val="0"/>
        <w:adjustRightInd/>
        <w:snapToGrid/>
        <w:spacing w:line="360" w:lineRule="auto"/>
        <w:jc w:val="left"/>
        <w:textAlignment w:val="auto"/>
        <w:rPr>
          <w:rFonts w:ascii="宋体" w:hAnsi="宋体" w:cs="宋体"/>
          <w:b/>
          <w:kern w:val="0"/>
          <w:sz w:val="24"/>
          <w:szCs w:val="24"/>
        </w:rPr>
      </w:pPr>
      <w:r>
        <w:rPr>
          <w:rFonts w:hint="eastAsia" w:ascii="宋体" w:hAnsi="宋体" w:cs="宋体"/>
          <w:b/>
          <w:kern w:val="0"/>
          <w:sz w:val="24"/>
          <w:szCs w:val="24"/>
        </w:rPr>
        <w:t>6、技术及售后服务要求</w:t>
      </w:r>
      <w:r>
        <w:rPr>
          <w:rFonts w:hint="eastAsia" w:ascii="宋体" w:hAnsi="宋体" w:cs="宋体"/>
          <w:color w:val="000000"/>
          <w:kern w:val="0"/>
          <w:sz w:val="24"/>
          <w:szCs w:val="24"/>
        </w:rPr>
        <w:t>（招标文件“第五章 采购需求/</w:t>
      </w:r>
      <w:r>
        <w:rPr>
          <w:rFonts w:hint="eastAsia" w:ascii="宋体" w:hAnsi="宋体" w:cs="宋体"/>
          <w:sz w:val="24"/>
          <w:szCs w:val="24"/>
        </w:rPr>
        <w:t>技术参数（规格）要求”中有特殊要求的按其执行）</w:t>
      </w:r>
    </w:p>
    <w:p w14:paraId="48B6B2A7">
      <w:pPr>
        <w:pStyle w:val="10"/>
        <w:keepNext w:val="0"/>
        <w:keepLines w:val="0"/>
        <w:pageBreakBefore w:val="0"/>
        <w:kinsoku/>
        <w:wordWrap/>
        <w:overflowPunct/>
        <w:topLinePunct w:val="0"/>
        <w:autoSpaceDN/>
        <w:bidi w:val="0"/>
        <w:adjustRightInd/>
        <w:snapToGrid/>
        <w:spacing w:line="360" w:lineRule="auto"/>
        <w:textAlignment w:val="auto"/>
        <w:rPr>
          <w:rFonts w:hint="eastAsia" w:ascii="宋体" w:hAnsi="宋体" w:cs="宋体"/>
          <w:kern w:val="0"/>
          <w:sz w:val="24"/>
          <w:szCs w:val="24"/>
        </w:rPr>
      </w:pPr>
      <w:r>
        <w:rPr>
          <w:rFonts w:hint="eastAsia" w:ascii="宋体" w:hAnsi="宋体" w:cs="宋体"/>
          <w:kern w:val="0"/>
          <w:sz w:val="24"/>
          <w:szCs w:val="24"/>
        </w:rPr>
        <w:t>6.1、在产品质保期内，如发生故障问题，成交供应商保证在接到通知后，应在1小时内立即给予答复且工程师必需在24小时内达到现场进行免费维修或更换，规定采购方规定的时间内进行免费维修或更换；质保期间产品的一切质量问题，全部由成交供应商自行负责。全年24小时技术支持。</w:t>
      </w:r>
    </w:p>
    <w:p w14:paraId="5AF7E991">
      <w:pPr>
        <w:pStyle w:val="10"/>
        <w:keepNext w:val="0"/>
        <w:keepLines w:val="0"/>
        <w:pageBreakBefore w:val="0"/>
        <w:kinsoku/>
        <w:wordWrap/>
        <w:overflowPunct/>
        <w:topLinePunct w:val="0"/>
        <w:autoSpaceDN/>
        <w:bidi w:val="0"/>
        <w:adjustRightInd/>
        <w:snapToGrid/>
        <w:spacing w:line="360" w:lineRule="auto"/>
        <w:textAlignment w:val="auto"/>
        <w:rPr>
          <w:rFonts w:hint="eastAsia" w:ascii="宋体" w:hAnsi="宋体" w:cs="宋体"/>
          <w:kern w:val="0"/>
          <w:sz w:val="24"/>
          <w:szCs w:val="24"/>
        </w:rPr>
      </w:pPr>
      <w:r>
        <w:rPr>
          <w:rFonts w:hint="eastAsia" w:ascii="宋体" w:hAnsi="宋体" w:cs="宋体"/>
          <w:kern w:val="0"/>
          <w:sz w:val="24"/>
          <w:szCs w:val="24"/>
        </w:rPr>
        <w:t>6.2、投标人须免费提供应用培训方案。</w:t>
      </w:r>
    </w:p>
    <w:p w14:paraId="0964F40F">
      <w:pPr>
        <w:keepNext w:val="0"/>
        <w:keepLines w:val="0"/>
        <w:pageBreakBefore w:val="0"/>
        <w:kinsoku/>
        <w:wordWrap/>
        <w:overflowPunct/>
        <w:topLinePunct w:val="0"/>
        <w:autoSpaceDN/>
        <w:bidi w:val="0"/>
        <w:adjustRightInd/>
        <w:snapToGrid/>
        <w:spacing w:line="360" w:lineRule="auto"/>
        <w:textAlignment w:val="auto"/>
        <w:rPr>
          <w:rFonts w:hint="eastAsia" w:ascii="宋体" w:hAnsi="宋体" w:cs="宋体"/>
          <w:kern w:val="0"/>
          <w:sz w:val="24"/>
          <w:szCs w:val="24"/>
        </w:rPr>
      </w:pPr>
      <w:r>
        <w:rPr>
          <w:rFonts w:hint="eastAsia" w:ascii="宋体" w:hAnsi="宋体" w:cs="宋体"/>
          <w:kern w:val="0"/>
          <w:sz w:val="24"/>
          <w:szCs w:val="24"/>
        </w:rPr>
        <w:t>6.3、免费为用户培训1-2维保技术人员</w:t>
      </w:r>
    </w:p>
    <w:p w14:paraId="73FB2D88">
      <w:pPr>
        <w:keepNext w:val="0"/>
        <w:keepLines w:val="0"/>
        <w:pageBreakBefore w:val="0"/>
        <w:kinsoku/>
        <w:wordWrap/>
        <w:overflowPunct/>
        <w:topLinePunct w:val="0"/>
        <w:autoSpaceDN/>
        <w:bidi w:val="0"/>
        <w:adjustRightInd/>
        <w:snapToGrid/>
        <w:spacing w:line="360" w:lineRule="auto"/>
        <w:textAlignment w:val="auto"/>
        <w:rPr>
          <w:rFonts w:hint="eastAsia" w:ascii="宋体" w:hAnsi="宋体" w:cs="宋体"/>
          <w:sz w:val="24"/>
          <w:szCs w:val="24"/>
        </w:rPr>
      </w:pPr>
      <w:r>
        <w:rPr>
          <w:rFonts w:hint="eastAsia" w:ascii="宋体" w:hAnsi="宋体" w:cs="宋体"/>
          <w:b/>
          <w:bCs/>
          <w:kern w:val="0"/>
          <w:sz w:val="24"/>
          <w:szCs w:val="24"/>
        </w:rPr>
        <w:t>7、产</w:t>
      </w:r>
      <w:r>
        <w:rPr>
          <w:rFonts w:hint="eastAsia" w:ascii="宋体" w:hAnsi="宋体" w:cs="宋体"/>
          <w:b/>
          <w:bCs/>
          <w:sz w:val="24"/>
          <w:szCs w:val="24"/>
        </w:rPr>
        <w:t>品合法性要求：</w:t>
      </w:r>
      <w:r>
        <w:rPr>
          <w:rFonts w:hint="eastAsia" w:ascii="宋体" w:hAnsi="宋体" w:cs="宋体"/>
          <w:sz w:val="24"/>
          <w:szCs w:val="24"/>
        </w:rPr>
        <w:t>投标人保证所提供的产品、软硬件、技术资料应当完整且合法取得，不会因为采购人的使用而被责令停止、追偿或要求赔偿损失。如出现此情况，一切经济和法律责任由投标人自行承担。</w:t>
      </w:r>
    </w:p>
    <w:p w14:paraId="33CA8FD8">
      <w:pPr>
        <w:keepNext w:val="0"/>
        <w:keepLines w:val="0"/>
        <w:pageBreakBefore w:val="0"/>
        <w:widowControl/>
        <w:shd w:val="clear" w:color="auto" w:fill="FFFFFF"/>
        <w:kinsoku/>
        <w:wordWrap/>
        <w:overflowPunct/>
        <w:topLinePunct w:val="0"/>
        <w:autoSpaceDN/>
        <w:bidi w:val="0"/>
        <w:adjustRightInd/>
        <w:snapToGrid/>
        <w:spacing w:line="360" w:lineRule="auto"/>
        <w:textAlignment w:val="auto"/>
        <w:rPr>
          <w:rFonts w:hint="eastAsia" w:ascii="宋体" w:hAnsi="宋体" w:cs="宋体"/>
          <w:b/>
          <w:kern w:val="0"/>
          <w:sz w:val="24"/>
          <w:szCs w:val="24"/>
        </w:rPr>
      </w:pPr>
      <w:r>
        <w:rPr>
          <w:rFonts w:hint="eastAsia" w:ascii="宋体" w:hAnsi="宋体" w:cs="宋体"/>
          <w:b/>
          <w:kern w:val="0"/>
          <w:sz w:val="24"/>
          <w:szCs w:val="24"/>
        </w:rPr>
        <w:t>8、未尽事宜待双方协商决定。</w:t>
      </w:r>
    </w:p>
    <w:p w14:paraId="13F83DC9">
      <w:pPr>
        <w:rPr>
          <w:rFonts w:hint="default" w:ascii="Times New Roman" w:hAnsi="Times New Roman" w:eastAsia="黑体" w:cs="Times New Roman"/>
          <w:b/>
          <w:bCs/>
          <w:sz w:val="32"/>
          <w:szCs w:val="32"/>
          <w:u w:val="none"/>
          <w:lang w:val="en-US" w:eastAsia="zh-CN"/>
        </w:rPr>
      </w:pPr>
      <w:r>
        <w:rPr>
          <w:rFonts w:hint="default" w:ascii="Times New Roman" w:hAnsi="Times New Roman" w:eastAsia="黑体" w:cs="Times New Roman"/>
          <w:b/>
          <w:bCs/>
          <w:sz w:val="32"/>
          <w:szCs w:val="32"/>
          <w:u w:val="none"/>
          <w:lang w:val="en-US" w:eastAsia="zh-CN"/>
        </w:rPr>
        <w:br w:type="page"/>
      </w:r>
    </w:p>
    <w:p w14:paraId="13E4BA30">
      <w:pPr>
        <w:spacing w:line="360" w:lineRule="auto"/>
        <w:ind w:firstLine="422" w:firstLineChars="200"/>
        <w:rPr>
          <w:rFonts w:hint="eastAsia" w:ascii="宋体" w:hAnsi="宋体" w:cs="宋体"/>
          <w:b/>
          <w:szCs w:val="21"/>
        </w:rPr>
      </w:pPr>
      <w:r>
        <w:rPr>
          <w:rFonts w:hint="eastAsia" w:ascii="宋体" w:hAnsi="宋体" w:cs="宋体"/>
          <w:b/>
          <w:szCs w:val="21"/>
        </w:rPr>
        <w:t>资格性符合性审查表格（审查内容）：</w:t>
      </w:r>
    </w:p>
    <w:tbl>
      <w:tblPr>
        <w:tblStyle w:val="6"/>
        <w:tblW w:w="9328" w:type="dxa"/>
        <w:tblInd w:w="93" w:type="dxa"/>
        <w:tblLayout w:type="fixed"/>
        <w:tblCellMar>
          <w:top w:w="0" w:type="dxa"/>
          <w:left w:w="108" w:type="dxa"/>
          <w:bottom w:w="0" w:type="dxa"/>
          <w:right w:w="108" w:type="dxa"/>
        </w:tblCellMar>
      </w:tblPr>
      <w:tblGrid>
        <w:gridCol w:w="658"/>
        <w:gridCol w:w="8670"/>
      </w:tblGrid>
      <w:tr w14:paraId="5FC507A4">
        <w:tblPrEx>
          <w:tblCellMar>
            <w:top w:w="0" w:type="dxa"/>
            <w:left w:w="108" w:type="dxa"/>
            <w:bottom w:w="0" w:type="dxa"/>
            <w:right w:w="108" w:type="dxa"/>
          </w:tblCellMar>
        </w:tblPrEx>
        <w:trPr>
          <w:trHeight w:val="375"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14:paraId="42FD570F">
            <w:pPr>
              <w:widowControl/>
              <w:jc w:val="center"/>
              <w:rPr>
                <w:rFonts w:hint="eastAsia" w:ascii="宋体" w:hAnsi="宋体" w:cs="宋体"/>
                <w:b/>
                <w:kern w:val="0"/>
                <w:szCs w:val="21"/>
              </w:rPr>
            </w:pPr>
            <w:r>
              <w:rPr>
                <w:rFonts w:hint="eastAsia" w:ascii="宋体" w:hAnsi="宋体" w:cs="宋体"/>
                <w:b/>
                <w:kern w:val="0"/>
                <w:szCs w:val="21"/>
              </w:rPr>
              <w:t>序号</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25BED921">
            <w:pPr>
              <w:widowControl/>
              <w:jc w:val="center"/>
              <w:rPr>
                <w:rFonts w:hint="eastAsia" w:ascii="宋体" w:hAnsi="宋体" w:cs="宋体"/>
                <w:b/>
                <w:kern w:val="0"/>
                <w:szCs w:val="21"/>
              </w:rPr>
            </w:pPr>
            <w:r>
              <w:rPr>
                <w:rFonts w:hint="eastAsia" w:ascii="宋体" w:hAnsi="宋体" w:cs="宋体"/>
                <w:b/>
                <w:kern w:val="0"/>
                <w:szCs w:val="21"/>
              </w:rPr>
              <w:t>资格要求（审查内容）</w:t>
            </w:r>
          </w:p>
          <w:p w14:paraId="692A9C9E">
            <w:pPr>
              <w:widowControl/>
              <w:jc w:val="center"/>
              <w:rPr>
                <w:rFonts w:hint="eastAsia" w:ascii="宋体" w:hAnsi="宋体" w:cs="宋体"/>
                <w:b/>
                <w:kern w:val="0"/>
                <w:szCs w:val="21"/>
              </w:rPr>
            </w:pPr>
          </w:p>
        </w:tc>
      </w:tr>
      <w:tr w14:paraId="42D44870">
        <w:tblPrEx>
          <w:tblCellMar>
            <w:top w:w="0" w:type="dxa"/>
            <w:left w:w="108" w:type="dxa"/>
            <w:bottom w:w="0" w:type="dxa"/>
            <w:right w:w="108" w:type="dxa"/>
          </w:tblCellMar>
        </w:tblPrEx>
        <w:trPr>
          <w:trHeight w:val="375"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14:paraId="233E28E5">
            <w:pPr>
              <w:widowControl/>
              <w:jc w:val="center"/>
              <w:rPr>
                <w:rFonts w:hint="eastAsia" w:ascii="宋体" w:hAnsi="宋体" w:cs="宋体"/>
                <w:kern w:val="0"/>
                <w:szCs w:val="21"/>
              </w:rPr>
            </w:pPr>
            <w:r>
              <w:rPr>
                <w:rFonts w:hint="eastAsia" w:ascii="宋体" w:hAnsi="宋体" w:cs="宋体"/>
                <w:kern w:val="0"/>
                <w:szCs w:val="21"/>
              </w:rPr>
              <w:t>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26EEC9D8">
            <w:pPr>
              <w:widowControl/>
              <w:rPr>
                <w:rFonts w:ascii="宋体" w:hAnsi="宋体" w:cs="宋体"/>
                <w:kern w:val="0"/>
                <w:szCs w:val="21"/>
              </w:rPr>
            </w:pPr>
            <w:r>
              <w:rPr>
                <w:rFonts w:hint="eastAsia" w:ascii="宋体" w:hAnsi="宋体" w:cs="宋体"/>
                <w:kern w:val="0"/>
                <w:szCs w:val="21"/>
              </w:rPr>
              <w:t>投标保证金证明材料</w:t>
            </w:r>
          </w:p>
        </w:tc>
      </w:tr>
      <w:tr w14:paraId="72883E2E">
        <w:tblPrEx>
          <w:tblCellMar>
            <w:top w:w="0" w:type="dxa"/>
            <w:left w:w="108" w:type="dxa"/>
            <w:bottom w:w="0" w:type="dxa"/>
            <w:right w:w="108" w:type="dxa"/>
          </w:tblCellMar>
        </w:tblPrEx>
        <w:trPr>
          <w:trHeight w:val="3649"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14:paraId="4A38D2FF">
            <w:pPr>
              <w:widowControl/>
              <w:spacing w:line="360" w:lineRule="auto"/>
              <w:jc w:val="center"/>
              <w:rPr>
                <w:rFonts w:hint="eastAsia" w:ascii="宋体" w:hAnsi="宋体" w:cs="宋体"/>
                <w:szCs w:val="21"/>
              </w:rPr>
            </w:pPr>
            <w:r>
              <w:rPr>
                <w:rFonts w:hint="eastAsia" w:ascii="宋体" w:hAnsi="宋体" w:cs="宋体"/>
                <w:szCs w:val="21"/>
              </w:rPr>
              <w:t>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69399368">
            <w:pPr>
              <w:widowControl/>
              <w:spacing w:line="380" w:lineRule="exact"/>
              <w:rPr>
                <w:rFonts w:hint="eastAsia" w:ascii="宋体" w:hAnsi="宋体" w:cs="宋体"/>
                <w:szCs w:val="21"/>
              </w:rPr>
            </w:pPr>
            <w:r>
              <w:rPr>
                <w:rFonts w:hint="eastAsia" w:ascii="宋体" w:hAnsi="宋体" w:cs="宋体"/>
                <w:b/>
                <w:szCs w:val="21"/>
              </w:rPr>
              <w:t>符合《中华人民共和国政府采购法》第二十二条之供应商资格条件要求</w:t>
            </w:r>
            <w:r>
              <w:rPr>
                <w:rFonts w:hint="eastAsia" w:ascii="宋体" w:hAnsi="宋体" w:cs="宋体"/>
                <w:szCs w:val="21"/>
              </w:rPr>
              <w:t>，并按照《政府采购法实施条例》第十七条的规定提供以下材料：</w:t>
            </w:r>
          </w:p>
          <w:p w14:paraId="6037AFAE">
            <w:pPr>
              <w:widowControl/>
              <w:spacing w:line="380" w:lineRule="exact"/>
              <w:rPr>
                <w:rFonts w:hint="eastAsia" w:ascii="宋体" w:hAnsi="宋体" w:cs="宋体"/>
                <w:kern w:val="0"/>
                <w:szCs w:val="21"/>
              </w:rPr>
            </w:pPr>
            <w:r>
              <w:rPr>
                <w:rFonts w:hint="eastAsia" w:ascii="宋体" w:hAnsi="宋体" w:cs="宋体"/>
                <w:kern w:val="0"/>
                <w:szCs w:val="21"/>
              </w:rPr>
              <w:t>a.提供法人或其他组织的营业执照等证明文件，或自然人身份证明；</w:t>
            </w:r>
          </w:p>
          <w:p w14:paraId="20BDE91C">
            <w:pPr>
              <w:widowControl/>
              <w:spacing w:line="380" w:lineRule="exact"/>
              <w:rPr>
                <w:rFonts w:hint="eastAsia" w:ascii="宋体" w:hAnsi="宋体" w:eastAsia="宋体" w:cs="宋体"/>
                <w:kern w:val="0"/>
                <w:szCs w:val="21"/>
                <w:lang w:eastAsia="zh-CN"/>
              </w:rPr>
            </w:pPr>
            <w:r>
              <w:rPr>
                <w:rFonts w:hint="eastAsia" w:ascii="宋体" w:hAnsi="宋体" w:cs="宋体"/>
                <w:kern w:val="0"/>
                <w:szCs w:val="21"/>
              </w:rPr>
              <w:t>b.</w:t>
            </w:r>
            <w:r>
              <w:rPr>
                <w:rFonts w:hint="eastAsia" w:ascii="宋体" w:hAnsi="宋体" w:cs="宋体"/>
                <w:kern w:val="0"/>
                <w:szCs w:val="21"/>
                <w:lang w:eastAsia="zh-CN"/>
              </w:rPr>
              <w:t>提供2023或2024年经审计的财务报告或2025年银行出具的资信证明；</w:t>
            </w:r>
          </w:p>
          <w:p w14:paraId="0320E832">
            <w:pPr>
              <w:widowControl/>
              <w:spacing w:line="380" w:lineRule="exact"/>
              <w:rPr>
                <w:rFonts w:hint="eastAsia" w:ascii="宋体" w:hAnsi="宋体" w:cs="宋体"/>
                <w:kern w:val="0"/>
                <w:szCs w:val="21"/>
              </w:rPr>
            </w:pPr>
            <w:r>
              <w:rPr>
                <w:rFonts w:hint="eastAsia" w:ascii="宋体" w:hAnsi="宋体" w:cs="宋体"/>
                <w:kern w:val="0"/>
                <w:szCs w:val="21"/>
              </w:rPr>
              <w:t>c.提供具备履行合同所必需的设备和专业技术能力的证明材料或承诺函（格式自拟）。</w:t>
            </w:r>
          </w:p>
          <w:p w14:paraId="37BCBE51">
            <w:pPr>
              <w:widowControl/>
              <w:spacing w:line="380" w:lineRule="exact"/>
              <w:rPr>
                <w:rFonts w:hint="eastAsia" w:ascii="宋体" w:hAnsi="宋体" w:cs="宋体"/>
                <w:kern w:val="0"/>
                <w:szCs w:val="21"/>
              </w:rPr>
            </w:pPr>
            <w:r>
              <w:rPr>
                <w:rFonts w:hint="eastAsia" w:ascii="宋体" w:hAnsi="宋体" w:cs="宋体"/>
                <w:kern w:val="0"/>
                <w:szCs w:val="21"/>
              </w:rPr>
              <w:t>d.</w:t>
            </w:r>
            <w:r>
              <w:rPr>
                <w:rFonts w:hint="eastAsia" w:ascii="宋体" w:hAnsi="宋体" w:cs="宋体"/>
                <w:kern w:val="0"/>
                <w:szCs w:val="21"/>
                <w:lang w:eastAsia="zh-CN"/>
              </w:rPr>
              <w:t>提供202</w:t>
            </w:r>
            <w:r>
              <w:rPr>
                <w:rFonts w:hint="eastAsia" w:ascii="宋体" w:hAnsi="宋体" w:cs="宋体"/>
                <w:kern w:val="0"/>
                <w:szCs w:val="21"/>
                <w:lang w:val="en-US" w:eastAsia="zh-CN"/>
              </w:rPr>
              <w:t>5</w:t>
            </w:r>
            <w:r>
              <w:rPr>
                <w:rFonts w:hint="eastAsia" w:ascii="宋体" w:hAnsi="宋体" w:cs="宋体"/>
                <w:kern w:val="0"/>
                <w:szCs w:val="21"/>
                <w:lang w:eastAsia="zh-CN"/>
              </w:rPr>
              <w:t>年任意</w:t>
            </w:r>
            <w:r>
              <w:rPr>
                <w:rFonts w:hint="eastAsia" w:ascii="宋体" w:hAnsi="宋体" w:cs="宋体"/>
                <w:kern w:val="0"/>
                <w:szCs w:val="21"/>
                <w:lang w:val="en-US" w:eastAsia="zh-CN"/>
              </w:rPr>
              <w:t>一</w:t>
            </w:r>
            <w:r>
              <w:rPr>
                <w:rFonts w:hint="eastAsia" w:ascii="宋体" w:hAnsi="宋体" w:cs="宋体"/>
                <w:kern w:val="0"/>
                <w:szCs w:val="21"/>
                <w:lang w:eastAsia="zh-CN"/>
              </w:rPr>
              <w:t>个月缴纳税收的凭据或证明材料复印件</w:t>
            </w:r>
            <w:r>
              <w:rPr>
                <w:rFonts w:hint="eastAsia" w:ascii="宋体" w:hAnsi="宋体" w:cs="宋体"/>
                <w:kern w:val="0"/>
                <w:szCs w:val="21"/>
              </w:rPr>
              <w:t>（依法免税的供应商须提供相应证明文件）及</w:t>
            </w:r>
            <w:r>
              <w:rPr>
                <w:rFonts w:hint="eastAsia" w:ascii="宋体" w:hAnsi="宋体" w:cs="宋体"/>
                <w:kern w:val="0"/>
                <w:szCs w:val="21"/>
                <w:lang w:eastAsia="zh-CN"/>
              </w:rPr>
              <w:t>202</w:t>
            </w:r>
            <w:r>
              <w:rPr>
                <w:rFonts w:hint="eastAsia" w:ascii="宋体" w:hAnsi="宋体" w:cs="宋体"/>
                <w:kern w:val="0"/>
                <w:szCs w:val="21"/>
                <w:lang w:val="en-US" w:eastAsia="zh-CN"/>
              </w:rPr>
              <w:t>5</w:t>
            </w:r>
            <w:r>
              <w:rPr>
                <w:rFonts w:hint="eastAsia" w:ascii="宋体" w:hAnsi="宋体" w:cs="宋体"/>
                <w:kern w:val="0"/>
                <w:szCs w:val="21"/>
                <w:lang w:eastAsia="zh-CN"/>
              </w:rPr>
              <w:t>年任意</w:t>
            </w:r>
            <w:r>
              <w:rPr>
                <w:rFonts w:hint="eastAsia" w:ascii="宋体" w:hAnsi="宋体" w:cs="宋体"/>
                <w:kern w:val="0"/>
                <w:szCs w:val="21"/>
                <w:lang w:val="en-US" w:eastAsia="zh-CN"/>
              </w:rPr>
              <w:t>一</w:t>
            </w:r>
            <w:r>
              <w:rPr>
                <w:rFonts w:hint="eastAsia" w:ascii="宋体" w:hAnsi="宋体" w:cs="宋体"/>
                <w:kern w:val="0"/>
                <w:szCs w:val="21"/>
                <w:lang w:eastAsia="zh-CN"/>
              </w:rPr>
              <w:t>个月</w:t>
            </w:r>
            <w:r>
              <w:rPr>
                <w:rFonts w:hint="eastAsia" w:ascii="宋体" w:hAnsi="宋体" w:cs="宋体"/>
                <w:kern w:val="0"/>
                <w:szCs w:val="21"/>
              </w:rPr>
              <w:t>社会保障资金缴纳证明材料复印件（不需要缴纳社保资金的供应商须提供相应证明文件）。</w:t>
            </w:r>
          </w:p>
          <w:p w14:paraId="4B12693C">
            <w:pPr>
              <w:widowControl/>
              <w:spacing w:line="380" w:lineRule="exact"/>
              <w:rPr>
                <w:rFonts w:hint="eastAsia" w:ascii="宋体" w:hAnsi="宋体" w:cs="宋体"/>
                <w:kern w:val="0"/>
                <w:szCs w:val="21"/>
              </w:rPr>
            </w:pPr>
            <w:r>
              <w:rPr>
                <w:rFonts w:hint="eastAsia" w:ascii="宋体" w:hAnsi="宋体" w:cs="宋体"/>
                <w:kern w:val="0"/>
                <w:szCs w:val="21"/>
              </w:rPr>
              <w:t>e.提供参加政府采购活动前3年内在经营活动中没有重大违法记录的书面声明。</w:t>
            </w:r>
          </w:p>
        </w:tc>
      </w:tr>
      <w:tr w14:paraId="7DB82498">
        <w:tblPrEx>
          <w:tblCellMar>
            <w:top w:w="0" w:type="dxa"/>
            <w:left w:w="108" w:type="dxa"/>
            <w:bottom w:w="0" w:type="dxa"/>
            <w:right w:w="108" w:type="dxa"/>
          </w:tblCellMar>
        </w:tblPrEx>
        <w:trPr>
          <w:trHeight w:val="1557"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14:paraId="77D90DC4">
            <w:pPr>
              <w:widowControl/>
              <w:spacing w:line="360" w:lineRule="auto"/>
              <w:jc w:val="center"/>
              <w:rPr>
                <w:rFonts w:hint="eastAsia" w:ascii="宋体" w:hAnsi="宋体" w:cs="宋体"/>
                <w:szCs w:val="21"/>
              </w:rPr>
            </w:pPr>
            <w:r>
              <w:rPr>
                <w:rFonts w:hint="eastAsia" w:ascii="宋体" w:hAnsi="宋体" w:cs="宋体"/>
                <w:szCs w:val="21"/>
              </w:rPr>
              <w:t>3</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0201A70C">
            <w:pPr>
              <w:spacing w:line="380" w:lineRule="exact"/>
              <w:rPr>
                <w:rFonts w:hint="eastAsia" w:ascii="宋体" w:hAnsi="宋体" w:cs="宋体"/>
                <w:kern w:val="0"/>
                <w:szCs w:val="21"/>
              </w:rPr>
            </w:pPr>
            <w:r>
              <w:rPr>
                <w:rFonts w:hint="eastAsia" w:ascii="宋体" w:hAnsi="宋体" w:cs="宋体"/>
                <w:kern w:val="0"/>
                <w:szCs w:val="21"/>
              </w:rPr>
              <w:t>供应商自行承诺：在“信用中国”网站（www.creditchina.gov.cn）、中国政府采购网（www.ccgp.gov.cn）等渠道查询中未被列入失信被执行人名单、</w:t>
            </w:r>
            <w:r>
              <w:rPr>
                <w:rFonts w:hint="eastAsia" w:ascii="宋体" w:hAnsi="宋体" w:cs="宋体"/>
                <w:kern w:val="0"/>
                <w:szCs w:val="21"/>
                <w:lang w:eastAsia="zh-CN"/>
              </w:rPr>
              <w:t>税收违法黑名单</w:t>
            </w:r>
            <w:r>
              <w:rPr>
                <w:rFonts w:hint="eastAsia" w:ascii="宋体" w:hAnsi="宋体" w:cs="宋体"/>
                <w:kern w:val="0"/>
                <w:szCs w:val="21"/>
              </w:rPr>
              <w:t>、政府采购严重违法失信行为记录名单，查询截止时点为磋商当日评审前，由磋商小组对信用记录进行甄别，对列入失信被执行人、</w:t>
            </w:r>
            <w:r>
              <w:rPr>
                <w:rFonts w:hint="eastAsia" w:ascii="宋体" w:hAnsi="宋体" w:cs="宋体"/>
                <w:kern w:val="0"/>
                <w:szCs w:val="21"/>
                <w:lang w:eastAsia="zh-CN"/>
              </w:rPr>
              <w:t>税收违法黑名单</w:t>
            </w:r>
            <w:r>
              <w:rPr>
                <w:rFonts w:hint="eastAsia" w:ascii="宋体" w:hAnsi="宋体" w:cs="宋体"/>
                <w:kern w:val="0"/>
                <w:szCs w:val="21"/>
              </w:rPr>
              <w:t>、政府采购严重违法失信行为记录名单的供应商，拒绝其参与本次政府采购活动，并承担由此造成的一切法律责任及后果（承诺自拟）。</w:t>
            </w:r>
          </w:p>
        </w:tc>
      </w:tr>
      <w:tr w14:paraId="2E888A08">
        <w:tblPrEx>
          <w:tblCellMar>
            <w:top w:w="0" w:type="dxa"/>
            <w:left w:w="108" w:type="dxa"/>
            <w:bottom w:w="0" w:type="dxa"/>
            <w:right w:w="108" w:type="dxa"/>
          </w:tblCellMar>
        </w:tblPrEx>
        <w:trPr>
          <w:trHeight w:val="504"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14:paraId="1D58F7C7">
            <w:pPr>
              <w:widowControl/>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39C14748">
            <w:pPr>
              <w:widowControl/>
              <w:spacing w:line="360" w:lineRule="auto"/>
              <w:jc w:val="left"/>
              <w:rPr>
                <w:rFonts w:hint="eastAsia" w:ascii="Times New Roman" w:hAnsi="Times New Roman" w:eastAsia="宋体" w:cs="Times New Roman"/>
                <w:color w:val="auto"/>
                <w:highlight w:val="none"/>
              </w:rPr>
            </w:pPr>
            <w:r>
              <w:rPr>
                <w:rFonts w:hint="eastAsia" w:ascii="宋体" w:hAnsi="宋体" w:cs="宋体"/>
                <w:kern w:val="0"/>
                <w:szCs w:val="21"/>
                <w:lang w:val="en-US" w:eastAsia="zh-CN"/>
              </w:rPr>
              <w:t>特殊资格要求：（</w:t>
            </w:r>
            <w:r>
              <w:rPr>
                <w:rFonts w:hint="eastAsia" w:ascii="Times New Roman" w:hAnsi="Times New Roman" w:eastAsia="宋体" w:cs="Times New Roman"/>
                <w:color w:val="auto"/>
                <w:highlight w:val="none"/>
              </w:rPr>
              <w:t>1）投标产品属于医疗器械管理的产品且投标供应商为代理商的须提供《医疗器械经营企业许可证》（经营范围覆盖所投标产品）或医疗器械经营许可备案证明材料复印件。</w:t>
            </w:r>
          </w:p>
          <w:p w14:paraId="336B6072">
            <w:pPr>
              <w:spacing w:line="380" w:lineRule="exact"/>
              <w:rPr>
                <w:rFonts w:hint="default" w:ascii="宋体" w:hAnsi="宋体" w:eastAsia="宋体" w:cs="宋体"/>
                <w:kern w:val="0"/>
                <w:szCs w:val="21"/>
                <w:lang w:val="en-US" w:eastAsia="zh-CN"/>
              </w:rPr>
            </w:pPr>
            <w:r>
              <w:rPr>
                <w:rFonts w:hint="eastAsia" w:ascii="Times New Roman" w:hAnsi="Times New Roman" w:eastAsia="宋体" w:cs="Times New Roman"/>
                <w:color w:val="auto"/>
                <w:highlight w:val="none"/>
              </w:rPr>
              <w:t>（2）投标产品属于医疗器械管理的产品须提供投标产品医疗器械注册证（含登记表（若有）等附件）复印件或医疗器械备案证书（凭证）复印件。</w:t>
            </w:r>
            <w:r>
              <w:rPr>
                <w:rFonts w:hint="eastAsia" w:ascii="宋体" w:hAnsi="宋体" w:cs="宋体"/>
                <w:kern w:val="0"/>
                <w:szCs w:val="21"/>
              </w:rPr>
              <w:t xml:space="preserve">  </w:t>
            </w:r>
          </w:p>
        </w:tc>
      </w:tr>
      <w:tr w14:paraId="5E1F7887">
        <w:tblPrEx>
          <w:tblCellMar>
            <w:top w:w="0" w:type="dxa"/>
            <w:left w:w="108" w:type="dxa"/>
            <w:bottom w:w="0" w:type="dxa"/>
            <w:right w:w="108" w:type="dxa"/>
          </w:tblCellMar>
        </w:tblPrEx>
        <w:trPr>
          <w:trHeight w:val="375"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14:paraId="0FFAD6CE">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7166A9B1">
            <w:pPr>
              <w:widowControl/>
              <w:rPr>
                <w:rFonts w:hint="eastAsia" w:ascii="宋体" w:hAnsi="宋体" w:cs="宋体"/>
                <w:kern w:val="0"/>
                <w:szCs w:val="21"/>
              </w:rPr>
            </w:pPr>
            <w:r>
              <w:rPr>
                <w:rFonts w:hint="eastAsia" w:ascii="宋体" w:hAnsi="宋体" w:cs="宋体"/>
                <w:kern w:val="0"/>
                <w:szCs w:val="21"/>
              </w:rPr>
              <w:t>提供法定代表人身份证明书</w:t>
            </w:r>
          </w:p>
        </w:tc>
      </w:tr>
      <w:tr w14:paraId="4874FDEF">
        <w:tblPrEx>
          <w:tblCellMar>
            <w:top w:w="0" w:type="dxa"/>
            <w:left w:w="108" w:type="dxa"/>
            <w:bottom w:w="0" w:type="dxa"/>
            <w:right w:w="108" w:type="dxa"/>
          </w:tblCellMar>
        </w:tblPrEx>
        <w:trPr>
          <w:trHeight w:val="375"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14:paraId="097CDB16">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6</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36578EC6">
            <w:pPr>
              <w:widowControl/>
              <w:rPr>
                <w:rFonts w:hint="eastAsia" w:ascii="宋体" w:hAnsi="宋体" w:cs="宋体"/>
                <w:kern w:val="0"/>
                <w:szCs w:val="21"/>
              </w:rPr>
            </w:pPr>
            <w:r>
              <w:rPr>
                <w:rFonts w:hint="eastAsia" w:ascii="宋体" w:hAnsi="宋体" w:cs="宋体"/>
                <w:kern w:val="0"/>
                <w:szCs w:val="21"/>
              </w:rPr>
              <w:t>提供法定代表人授权委托书(委托授权代理人时必须提交)</w:t>
            </w:r>
          </w:p>
        </w:tc>
      </w:tr>
    </w:tbl>
    <w:p w14:paraId="320CD791">
      <w:pPr>
        <w:rPr>
          <w:rFonts w:hint="default"/>
          <w:lang w:val="en-US" w:eastAsia="zh-CN"/>
        </w:rPr>
      </w:pPr>
      <w:r>
        <w:rPr>
          <w:rFonts w:hint="default"/>
          <w:lang w:val="en-US" w:eastAsia="zh-CN"/>
        </w:rPr>
        <w:br w:type="page"/>
      </w:r>
    </w:p>
    <w:p w14:paraId="2A14EB75">
      <w:pPr>
        <w:widowControl/>
        <w:shd w:val="clear" w:color="auto" w:fill="FFFFFF"/>
        <w:spacing w:line="360" w:lineRule="auto"/>
        <w:rPr>
          <w:rFonts w:ascii="宋体" w:hAnsi="宋体" w:cs="宋体"/>
          <w:color w:val="000000"/>
          <w:szCs w:val="21"/>
        </w:rPr>
      </w:pPr>
      <w:r>
        <w:rPr>
          <w:rFonts w:hint="eastAsia" w:ascii="宋体" w:hAnsi="宋体" w:cs="宋体"/>
          <w:b/>
          <w:bCs/>
          <w:color w:val="000000"/>
          <w:szCs w:val="21"/>
        </w:rPr>
        <w:t>1．投标报价</w:t>
      </w:r>
      <w:r>
        <w:rPr>
          <w:rFonts w:hint="eastAsia" w:ascii="宋体" w:hAnsi="宋体" w:cs="宋体"/>
          <w:b/>
          <w:color w:val="000000"/>
          <w:szCs w:val="21"/>
        </w:rPr>
        <w:t xml:space="preserve">：【满分30分】 </w:t>
      </w:r>
    </w:p>
    <w:tbl>
      <w:tblPr>
        <w:tblStyle w:val="6"/>
        <w:tblW w:w="10239" w:type="dxa"/>
        <w:tblInd w:w="-432"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022"/>
        <w:gridCol w:w="6217"/>
      </w:tblGrid>
      <w:tr w14:paraId="02D958F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786" w:hRule="atLeast"/>
        </w:trPr>
        <w:tc>
          <w:tcPr>
            <w:tcW w:w="4022" w:type="dxa"/>
            <w:tcBorders>
              <w:top w:val="double" w:color="000000" w:sz="6" w:space="0"/>
              <w:left w:val="double" w:color="000000" w:sz="6" w:space="0"/>
              <w:bottom w:val="double" w:color="000000" w:sz="6" w:space="0"/>
              <w:right w:val="double" w:color="000000" w:sz="6" w:space="0"/>
            </w:tcBorders>
            <w:noWrap w:val="0"/>
            <w:vAlign w:val="center"/>
          </w:tcPr>
          <w:p w14:paraId="5E6112E0">
            <w:pPr>
              <w:spacing w:line="360" w:lineRule="auto"/>
              <w:jc w:val="center"/>
              <w:rPr>
                <w:rFonts w:ascii="宋体" w:hAnsi="宋体" w:cs="宋体"/>
                <w:b/>
                <w:caps/>
                <w:color w:val="000000"/>
                <w:szCs w:val="21"/>
              </w:rPr>
            </w:pPr>
            <w:r>
              <w:rPr>
                <w:rFonts w:hint="eastAsia" w:ascii="宋体" w:hAnsi="宋体" w:cs="宋体"/>
                <w:b/>
                <w:caps/>
                <w:color w:val="000000"/>
                <w:szCs w:val="21"/>
              </w:rPr>
              <w:t>价格分计算公式</w:t>
            </w:r>
          </w:p>
        </w:tc>
        <w:tc>
          <w:tcPr>
            <w:tcW w:w="6217" w:type="dxa"/>
            <w:tcBorders>
              <w:top w:val="double" w:color="000000" w:sz="6" w:space="0"/>
              <w:left w:val="double" w:color="000000" w:sz="6" w:space="0"/>
              <w:bottom w:val="double" w:color="000000" w:sz="6" w:space="0"/>
              <w:right w:val="double" w:color="000000" w:sz="6" w:space="0"/>
            </w:tcBorders>
            <w:noWrap w:val="0"/>
            <w:vAlign w:val="center"/>
          </w:tcPr>
          <w:p w14:paraId="662F7706">
            <w:pPr>
              <w:spacing w:line="360" w:lineRule="auto"/>
              <w:jc w:val="center"/>
              <w:rPr>
                <w:rFonts w:ascii="宋体" w:hAnsi="宋体" w:cs="宋体"/>
                <w:b/>
                <w:caps/>
                <w:color w:val="000000"/>
                <w:szCs w:val="21"/>
              </w:rPr>
            </w:pPr>
            <w:r>
              <w:rPr>
                <w:rFonts w:hint="eastAsia" w:ascii="宋体" w:hAnsi="宋体" w:cs="宋体"/>
                <w:b/>
                <w:bCs/>
                <w:color w:val="000000"/>
                <w:kern w:val="0"/>
                <w:szCs w:val="21"/>
              </w:rPr>
              <w:t>价格扣除说明</w:t>
            </w:r>
          </w:p>
        </w:tc>
      </w:tr>
      <w:tr w14:paraId="38B4BE7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305" w:hRule="atLeast"/>
        </w:trPr>
        <w:tc>
          <w:tcPr>
            <w:tcW w:w="4022" w:type="dxa"/>
            <w:tcBorders>
              <w:top w:val="double" w:color="000000" w:sz="6" w:space="0"/>
              <w:left w:val="double" w:color="000000" w:sz="6" w:space="0"/>
              <w:bottom w:val="double" w:color="000000" w:sz="6" w:space="0"/>
              <w:right w:val="double" w:color="000000" w:sz="6" w:space="0"/>
            </w:tcBorders>
            <w:noWrap w:val="0"/>
            <w:vAlign w:val="center"/>
          </w:tcPr>
          <w:p w14:paraId="5B6DF49F">
            <w:pPr>
              <w:spacing w:line="360" w:lineRule="auto"/>
              <w:jc w:val="center"/>
              <w:rPr>
                <w:rFonts w:ascii="宋体" w:hAnsi="宋体" w:cs="宋体"/>
                <w:b/>
                <w:color w:val="000000"/>
                <w:szCs w:val="21"/>
                <w:highlight w:val="none"/>
              </w:rPr>
            </w:pPr>
            <w:r>
              <w:rPr>
                <w:rFonts w:hint="eastAsia" w:ascii="宋体" w:hAnsi="宋体" w:cs="宋体"/>
                <w:b/>
                <w:bCs/>
                <w:color w:val="000000"/>
                <w:szCs w:val="21"/>
                <w:highlight w:val="none"/>
              </w:rPr>
              <w:t>投标报价分=（最低有效投标报价/有效投标报价）×30</w:t>
            </w:r>
          </w:p>
        </w:tc>
        <w:tc>
          <w:tcPr>
            <w:tcW w:w="6217" w:type="dxa"/>
            <w:tcBorders>
              <w:top w:val="double" w:color="000000" w:sz="6" w:space="0"/>
              <w:left w:val="double" w:color="000000" w:sz="6" w:space="0"/>
              <w:bottom w:val="double" w:color="000000" w:sz="6" w:space="0"/>
              <w:right w:val="double" w:color="000000" w:sz="6" w:space="0"/>
            </w:tcBorders>
            <w:noWrap w:val="0"/>
            <w:vAlign w:val="center"/>
          </w:tcPr>
          <w:p w14:paraId="694542D1">
            <w:pPr>
              <w:widowControl/>
              <w:spacing w:line="360" w:lineRule="auto"/>
              <w:jc w:val="left"/>
              <w:rPr>
                <w:b w:val="0"/>
                <w:bCs w:val="0"/>
                <w:color w:val="000000"/>
                <w:szCs w:val="21"/>
                <w:highlight w:val="none"/>
              </w:rPr>
            </w:pPr>
            <w:r>
              <w:rPr>
                <w:b w:val="0"/>
                <w:bCs w:val="0"/>
                <w:color w:val="000000"/>
                <w:szCs w:val="21"/>
                <w:highlight w:val="none"/>
              </w:rPr>
              <w:t>备注：</w:t>
            </w:r>
          </w:p>
          <w:p w14:paraId="6EA5AC62">
            <w:pPr>
              <w:widowControl/>
              <w:spacing w:line="360" w:lineRule="auto"/>
              <w:jc w:val="left"/>
              <w:rPr>
                <w:b w:val="0"/>
                <w:bCs w:val="0"/>
                <w:color w:val="000000"/>
                <w:szCs w:val="21"/>
                <w:highlight w:val="none"/>
              </w:rPr>
            </w:pPr>
            <w:r>
              <w:rPr>
                <w:b w:val="0"/>
                <w:bCs w:val="0"/>
                <w:color w:val="000000"/>
                <w:szCs w:val="21"/>
                <w:highlight w:val="none"/>
              </w:rPr>
              <w:t>根据《政府采购促进中小企业发展管理办法》财库〔2020〕46号、关于政府采购支持监狱企业发展有关问题的通知(财库〔2014〕68号)、关于促进残疾人就业政府采购政策的通知（财库〔2017〕141号）及相关规定，在技术、商务等均满足采购需求的前提下，本项目对享受价格扣除政策企业的产品给予</w:t>
            </w:r>
            <w:r>
              <w:rPr>
                <w:rFonts w:hint="eastAsia"/>
                <w:b w:val="0"/>
                <w:bCs w:val="0"/>
                <w:color w:val="000000"/>
                <w:szCs w:val="21"/>
                <w:highlight w:val="none"/>
                <w:u w:val="single"/>
                <w:lang w:val="en-US" w:eastAsia="zh-CN"/>
              </w:rPr>
              <w:t>20</w:t>
            </w:r>
            <w:r>
              <w:rPr>
                <w:b w:val="0"/>
                <w:bCs w:val="0"/>
                <w:color w:val="000000"/>
                <w:szCs w:val="21"/>
                <w:highlight w:val="none"/>
                <w:u w:val="single"/>
              </w:rPr>
              <w:t xml:space="preserve">% </w:t>
            </w:r>
            <w:r>
              <w:rPr>
                <w:b w:val="0"/>
                <w:bCs w:val="0"/>
                <w:color w:val="000000"/>
                <w:szCs w:val="21"/>
                <w:highlight w:val="none"/>
              </w:rPr>
              <w:t>（联合体</w:t>
            </w:r>
            <w:r>
              <w:rPr>
                <w:b w:val="0"/>
                <w:bCs w:val="0"/>
                <w:color w:val="000000"/>
                <w:szCs w:val="21"/>
                <w:highlight w:val="none"/>
                <w:u w:val="single"/>
              </w:rPr>
              <w:t xml:space="preserve">  / </w:t>
            </w:r>
            <w:r>
              <w:rPr>
                <w:b w:val="0"/>
                <w:bCs w:val="0"/>
                <w:color w:val="000000"/>
                <w:szCs w:val="21"/>
                <w:highlight w:val="none"/>
              </w:rPr>
              <w:t>%）的价格扣除，用扣除后的价格参与评审。</w:t>
            </w:r>
          </w:p>
          <w:p w14:paraId="0093C003">
            <w:pPr>
              <w:widowControl/>
              <w:spacing w:line="360" w:lineRule="auto"/>
              <w:jc w:val="left"/>
              <w:rPr>
                <w:b w:val="0"/>
                <w:bCs w:val="0"/>
                <w:color w:val="000000"/>
                <w:szCs w:val="21"/>
                <w:highlight w:val="none"/>
              </w:rPr>
            </w:pPr>
            <w:r>
              <w:rPr>
                <w:b w:val="0"/>
                <w:bCs w:val="0"/>
                <w:color w:val="000000"/>
                <w:szCs w:val="21"/>
                <w:highlight w:val="none"/>
              </w:rPr>
              <w:t>说明：</w:t>
            </w:r>
          </w:p>
          <w:p w14:paraId="3BA6D273">
            <w:pPr>
              <w:widowControl/>
              <w:spacing w:line="360" w:lineRule="auto"/>
              <w:jc w:val="left"/>
              <w:rPr>
                <w:b w:val="0"/>
                <w:bCs w:val="0"/>
                <w:color w:val="000000"/>
                <w:szCs w:val="21"/>
                <w:highlight w:val="none"/>
              </w:rPr>
            </w:pPr>
            <w:r>
              <w:rPr>
                <w:b w:val="0"/>
                <w:bCs w:val="0"/>
                <w:color w:val="000000"/>
                <w:szCs w:val="21"/>
                <w:highlight w:val="none"/>
              </w:rPr>
              <w:t>（1）监狱企业视同小型、微型企业，享受预留份额、评审中价格扣除等政府采购促进中小企业发展的政府采购政策，残疾人福利性单位属于小型、微型企业的，不重复享受政策。</w:t>
            </w:r>
          </w:p>
          <w:p w14:paraId="01593E46">
            <w:pPr>
              <w:widowControl/>
              <w:spacing w:line="360" w:lineRule="auto"/>
              <w:jc w:val="left"/>
              <w:rPr>
                <w:b w:val="0"/>
                <w:bCs w:val="0"/>
                <w:color w:val="000000"/>
                <w:szCs w:val="21"/>
                <w:highlight w:val="none"/>
              </w:rPr>
            </w:pPr>
            <w:r>
              <w:rPr>
                <w:b w:val="0"/>
                <w:bCs w:val="0"/>
                <w:color w:val="000000"/>
                <w:szCs w:val="21"/>
                <w:highlight w:val="none"/>
              </w:rPr>
              <w:t>（2）对于经主管预算单位统筹后未预留份额专门面向中小企业采购的项目，以及预留份额项目中的非预留部分采购包，对符合本办法规定的小微企业报价给予</w:t>
            </w:r>
            <w:r>
              <w:rPr>
                <w:b w:val="0"/>
                <w:bCs w:val="0"/>
                <w:color w:val="000000"/>
                <w:szCs w:val="21"/>
                <w:highlight w:val="none"/>
                <w:u w:val="single"/>
              </w:rPr>
              <w:t xml:space="preserve"> </w:t>
            </w:r>
            <w:r>
              <w:rPr>
                <w:rFonts w:hint="eastAsia"/>
                <w:b w:val="0"/>
                <w:bCs w:val="0"/>
                <w:color w:val="000000"/>
                <w:szCs w:val="21"/>
                <w:highlight w:val="none"/>
                <w:u w:val="single"/>
                <w:lang w:val="en-US" w:eastAsia="zh-CN"/>
              </w:rPr>
              <w:t>20</w:t>
            </w:r>
            <w:r>
              <w:rPr>
                <w:b w:val="0"/>
                <w:bCs w:val="0"/>
                <w:color w:val="000000"/>
                <w:szCs w:val="21"/>
                <w:highlight w:val="none"/>
                <w:u w:val="single"/>
              </w:rPr>
              <w:t>%</w:t>
            </w:r>
            <w:r>
              <w:rPr>
                <w:b w:val="0"/>
                <w:bCs w:val="0"/>
                <w:color w:val="000000"/>
                <w:szCs w:val="21"/>
                <w:highlight w:val="none"/>
              </w:rPr>
              <w:t>的扣除，用扣除后的价格参加评审。</w:t>
            </w:r>
          </w:p>
          <w:p w14:paraId="4FD1920C">
            <w:pPr>
              <w:widowControl/>
              <w:spacing w:line="360" w:lineRule="auto"/>
              <w:jc w:val="left"/>
              <w:rPr>
                <w:b w:val="0"/>
                <w:bCs w:val="0"/>
                <w:color w:val="000000"/>
                <w:szCs w:val="21"/>
                <w:highlight w:val="none"/>
              </w:rPr>
            </w:pPr>
            <w:r>
              <w:rPr>
                <w:b w:val="0"/>
                <w:bCs w:val="0"/>
                <w:color w:val="000000"/>
                <w:szCs w:val="21"/>
                <w:highlight w:val="none"/>
              </w:rPr>
              <w:t>（3）接受大中型企业与小微企业组成联合体或者允许大中型企业向一家或者多家小微企业分包的采购项目，对于联合协议或者分包意向协议约定小微企业的合同份额占到合同总金额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b w:val="0"/>
                <w:bCs w:val="0"/>
                <w:color w:val="000000"/>
                <w:szCs w:val="21"/>
                <w:highlight w:val="none"/>
                <w:u w:val="single"/>
              </w:rPr>
              <w:t xml:space="preserve"> 4%</w:t>
            </w:r>
            <w:r>
              <w:rPr>
                <w:b w:val="0"/>
                <w:bCs w:val="0"/>
                <w:color w:val="000000"/>
                <w:szCs w:val="21"/>
                <w:highlight w:val="none"/>
              </w:rPr>
              <w:t>的扣除，用扣除后的价格参加评审。</w:t>
            </w:r>
          </w:p>
          <w:p w14:paraId="3CEDC758">
            <w:pPr>
              <w:widowControl/>
              <w:spacing w:line="360" w:lineRule="auto"/>
              <w:jc w:val="left"/>
              <w:rPr>
                <w:b w:val="0"/>
                <w:bCs w:val="0"/>
                <w:color w:val="000000"/>
                <w:szCs w:val="21"/>
                <w:highlight w:val="none"/>
              </w:rPr>
            </w:pPr>
            <w:r>
              <w:rPr>
                <w:b w:val="0"/>
                <w:bCs w:val="0"/>
                <w:color w:val="000000"/>
                <w:szCs w:val="21"/>
                <w:highlight w:val="none"/>
              </w:rPr>
              <w:t>（4）供应商必须对小型和微型企业、残疾人福利单位、监狱企业产品进行标注说明，且不得出现畸形报价，否则磋商小组有权不予认可。</w:t>
            </w:r>
          </w:p>
          <w:p w14:paraId="09A7DF4D">
            <w:pPr>
              <w:widowControl/>
              <w:spacing w:line="360" w:lineRule="auto"/>
              <w:jc w:val="left"/>
              <w:rPr>
                <w:b w:val="0"/>
                <w:bCs w:val="0"/>
                <w:color w:val="000000"/>
                <w:szCs w:val="21"/>
                <w:highlight w:val="none"/>
              </w:rPr>
            </w:pPr>
            <w:r>
              <w:rPr>
                <w:b w:val="0"/>
                <w:bCs w:val="0"/>
                <w:color w:val="000000"/>
                <w:szCs w:val="21"/>
                <w:highlight w:val="none"/>
              </w:rPr>
              <w:t>（5）组成联合体或者接受分包的小微企业与联合体内其他企业、分包企业之间存在直接控股、管理关系的，不享受价格扣除优惠政策。</w:t>
            </w:r>
          </w:p>
          <w:p w14:paraId="50DB5898">
            <w:pPr>
              <w:spacing w:line="360" w:lineRule="auto"/>
              <w:rPr>
                <w:rFonts w:ascii="宋体" w:hAnsi="宋体" w:cs="宋体"/>
                <w:color w:val="000000"/>
                <w:szCs w:val="21"/>
                <w:highlight w:val="none"/>
              </w:rPr>
            </w:pPr>
            <w:r>
              <w:rPr>
                <w:b w:val="0"/>
                <w:bCs w:val="0"/>
                <w:color w:val="000000"/>
                <w:szCs w:val="21"/>
                <w:highlight w:val="none"/>
              </w:rPr>
              <w:t>（6）《残疾人福利性单位声明函》和中小企业须提供《中小企业声明函》且声明函所载内容必需真实，如有虚假，将依法承担相应责任，包括取消成交资格等。中小企业划分标准依照工业和信息化部、国家统计局、国家发展和改革委员会、财政部联合下发的《关于印发中小企业划型标准规定的通知》（工信部联企业《2011》300号）执行。</w:t>
            </w:r>
          </w:p>
        </w:tc>
      </w:tr>
    </w:tbl>
    <w:p w14:paraId="1BBEF5A1">
      <w:pPr>
        <w:spacing w:line="360" w:lineRule="auto"/>
        <w:rPr>
          <w:rFonts w:ascii="宋体" w:hAnsi="宋体" w:cs="宋体"/>
          <w:b/>
          <w:color w:val="000000"/>
          <w:szCs w:val="21"/>
          <w:highlight w:val="none"/>
        </w:rPr>
      </w:pPr>
      <w:r>
        <w:rPr>
          <w:rFonts w:hint="eastAsia" w:ascii="宋体" w:hAnsi="宋体" w:cs="宋体"/>
          <w:b/>
          <w:bCs/>
          <w:color w:val="000000"/>
          <w:szCs w:val="21"/>
          <w:highlight w:val="none"/>
        </w:rPr>
        <w:t>特别说明：①</w:t>
      </w:r>
      <w:r>
        <w:rPr>
          <w:rFonts w:hint="eastAsia" w:ascii="宋体" w:hAnsi="宋体" w:cs="宋体"/>
          <w:b/>
          <w:color w:val="000000"/>
          <w:szCs w:val="21"/>
          <w:highlight w:val="none"/>
        </w:rPr>
        <w:t>评标委员会认为供应商的报价明显低于其他通过资格符合性审查供应商的报价，有可能影响产品质量或者不能诚信履约的，应当要求其在评标现场合理的时间内提供书面说明，必要时提交相关证明材料；供应商不能证明其报价合理性的，评标委员会应当将其作为无效投标处理。②</w:t>
      </w:r>
      <w:r>
        <w:rPr>
          <w:rFonts w:hint="eastAsia" w:ascii="宋体" w:hAnsi="宋体" w:cs="宋体"/>
          <w:b/>
          <w:bCs/>
          <w:color w:val="000000"/>
          <w:kern w:val="0"/>
          <w:szCs w:val="21"/>
          <w:highlight w:val="none"/>
        </w:rPr>
        <w:t>关于价格扣除：小微企业、</w:t>
      </w:r>
      <w:r>
        <w:rPr>
          <w:rFonts w:hint="eastAsia" w:ascii="宋体" w:hAnsi="宋体" w:cs="宋体"/>
          <w:b/>
          <w:color w:val="000000"/>
          <w:szCs w:val="21"/>
          <w:highlight w:val="none"/>
        </w:rPr>
        <w:t>残疾人福利性单位、监狱企业承担的服务项目（包括系统集成和系统建设等），不对项目中涉及的货物（产品）进行认定。</w:t>
      </w:r>
    </w:p>
    <w:p w14:paraId="786BD1D7">
      <w:pPr>
        <w:spacing w:line="360" w:lineRule="auto"/>
        <w:rPr>
          <w:rFonts w:hint="eastAsia" w:ascii="宋体" w:hAnsi="宋体" w:cs="宋体"/>
          <w:b/>
          <w:color w:val="000000"/>
          <w:szCs w:val="21"/>
          <w:highlight w:val="none"/>
        </w:rPr>
      </w:pPr>
    </w:p>
    <w:p w14:paraId="3327D2D2">
      <w:pPr>
        <w:spacing w:line="360" w:lineRule="auto"/>
        <w:rPr>
          <w:rFonts w:ascii="宋体" w:hAnsi="宋体" w:cs="宋体"/>
          <w:b/>
          <w:bCs/>
          <w:color w:val="000000"/>
          <w:szCs w:val="21"/>
          <w:highlight w:val="none"/>
        </w:rPr>
      </w:pPr>
      <w:r>
        <w:rPr>
          <w:rFonts w:hint="eastAsia" w:ascii="宋体" w:hAnsi="宋体" w:cs="宋体"/>
          <w:b/>
          <w:color w:val="000000"/>
          <w:szCs w:val="21"/>
          <w:highlight w:val="none"/>
        </w:rPr>
        <w:t>2．技术分： 【满分4</w:t>
      </w:r>
      <w:r>
        <w:rPr>
          <w:rFonts w:hint="eastAsia" w:ascii="宋体" w:hAnsi="宋体" w:cs="宋体"/>
          <w:b/>
          <w:color w:val="000000"/>
          <w:szCs w:val="21"/>
          <w:highlight w:val="none"/>
          <w:lang w:val="en-US" w:eastAsia="zh-CN"/>
        </w:rPr>
        <w:t>0</w:t>
      </w:r>
      <w:r>
        <w:rPr>
          <w:rFonts w:hint="eastAsia" w:ascii="宋体" w:hAnsi="宋体" w:cs="宋体"/>
          <w:b/>
          <w:color w:val="000000"/>
          <w:szCs w:val="21"/>
          <w:highlight w:val="none"/>
        </w:rPr>
        <w:t>分】</w:t>
      </w:r>
    </w:p>
    <w:p w14:paraId="7F1250C5">
      <w:pPr>
        <w:widowControl/>
        <w:shd w:val="clear" w:color="auto" w:fill="FFFFFF"/>
        <w:spacing w:line="360" w:lineRule="auto"/>
        <w:jc w:val="left"/>
        <w:rPr>
          <w:rFonts w:ascii="宋体" w:hAnsi="宋体" w:cs="宋体"/>
          <w:b/>
          <w:color w:val="000000"/>
          <w:szCs w:val="21"/>
          <w:highlight w:val="none"/>
        </w:rPr>
      </w:pPr>
      <w:r>
        <w:rPr>
          <w:rFonts w:hint="eastAsia" w:ascii="宋体" w:hAnsi="宋体" w:cs="宋体"/>
          <w:b/>
          <w:bCs/>
          <w:color w:val="000000"/>
          <w:szCs w:val="21"/>
          <w:highlight w:val="none"/>
        </w:rPr>
        <w:t>2.1投标响应评价（满分</w:t>
      </w:r>
      <w:r>
        <w:rPr>
          <w:rFonts w:hint="eastAsia" w:ascii="宋体" w:hAnsi="宋体" w:cs="宋体"/>
          <w:b/>
          <w:bCs/>
          <w:color w:val="000000"/>
          <w:szCs w:val="21"/>
          <w:highlight w:val="none"/>
          <w:lang w:val="en-US" w:eastAsia="zh-CN"/>
        </w:rPr>
        <w:t>35</w:t>
      </w:r>
      <w:r>
        <w:rPr>
          <w:rFonts w:hint="eastAsia" w:ascii="宋体" w:hAnsi="宋体" w:cs="宋体"/>
          <w:b/>
          <w:bCs/>
          <w:color w:val="000000"/>
          <w:szCs w:val="21"/>
          <w:highlight w:val="none"/>
        </w:rPr>
        <w:t>分)</w:t>
      </w:r>
    </w:p>
    <w:tbl>
      <w:tblPr>
        <w:tblStyle w:val="6"/>
        <w:tblW w:w="9588" w:type="dxa"/>
        <w:tblInd w:w="-1"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30"/>
        <w:gridCol w:w="3750"/>
        <w:gridCol w:w="4608"/>
      </w:tblGrid>
      <w:tr w14:paraId="2A8259B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668" w:hRule="atLeast"/>
        </w:trPr>
        <w:tc>
          <w:tcPr>
            <w:tcW w:w="1230" w:type="dxa"/>
            <w:tcBorders>
              <w:top w:val="double" w:color="000000" w:sz="6" w:space="0"/>
              <w:left w:val="double" w:color="000000" w:sz="6" w:space="0"/>
              <w:bottom w:val="double" w:color="000000" w:sz="6" w:space="0"/>
              <w:right w:val="double" w:color="000000" w:sz="6" w:space="0"/>
            </w:tcBorders>
            <w:noWrap w:val="0"/>
            <w:vAlign w:val="center"/>
          </w:tcPr>
          <w:p w14:paraId="31C8EC87">
            <w:pPr>
              <w:spacing w:line="360" w:lineRule="auto"/>
              <w:jc w:val="center"/>
              <w:rPr>
                <w:rFonts w:ascii="宋体" w:hAnsi="宋体" w:cs="宋体"/>
                <w:b/>
                <w:caps/>
                <w:color w:val="000000"/>
                <w:szCs w:val="21"/>
                <w:highlight w:val="none"/>
              </w:rPr>
            </w:pPr>
            <w:r>
              <w:rPr>
                <w:rFonts w:hint="eastAsia" w:ascii="宋体" w:hAnsi="宋体" w:cs="宋体"/>
                <w:b/>
                <w:caps/>
                <w:color w:val="000000"/>
                <w:szCs w:val="21"/>
                <w:highlight w:val="none"/>
              </w:rPr>
              <w:t>标准</w:t>
            </w:r>
          </w:p>
        </w:tc>
        <w:tc>
          <w:tcPr>
            <w:tcW w:w="3750" w:type="dxa"/>
            <w:tcBorders>
              <w:top w:val="double" w:color="000000" w:sz="6" w:space="0"/>
              <w:left w:val="double" w:color="000000" w:sz="6" w:space="0"/>
              <w:bottom w:val="double" w:color="000000" w:sz="6" w:space="0"/>
              <w:right w:val="double" w:color="000000" w:sz="6" w:space="0"/>
            </w:tcBorders>
            <w:noWrap w:val="0"/>
            <w:vAlign w:val="center"/>
          </w:tcPr>
          <w:p w14:paraId="34605228">
            <w:pPr>
              <w:spacing w:line="360" w:lineRule="auto"/>
              <w:jc w:val="left"/>
              <w:rPr>
                <w:rFonts w:ascii="宋体" w:hAnsi="宋体" w:cs="宋体"/>
                <w:b/>
                <w:caps/>
                <w:color w:val="000000"/>
                <w:szCs w:val="21"/>
                <w:highlight w:val="none"/>
              </w:rPr>
            </w:pPr>
            <w:r>
              <w:rPr>
                <w:color w:val="000000"/>
                <w:highlight w:val="none"/>
              </w:rPr>
              <w:t>投标响应完全满足或优于招标文件“第五章 采购需求”中“技术参数（规格）要求”，得分</w:t>
            </w:r>
            <w:r>
              <w:rPr>
                <w:rFonts w:hint="eastAsia"/>
                <w:color w:val="000000"/>
                <w:highlight w:val="none"/>
                <w:lang w:val="en-US" w:eastAsia="zh-CN"/>
              </w:rPr>
              <w:t>35</w:t>
            </w:r>
            <w:r>
              <w:rPr>
                <w:color w:val="000000"/>
                <w:highlight w:val="none"/>
              </w:rPr>
              <w:t>分。</w:t>
            </w:r>
          </w:p>
        </w:tc>
        <w:tc>
          <w:tcPr>
            <w:tcW w:w="4608" w:type="dxa"/>
            <w:vMerge w:val="restart"/>
            <w:tcBorders>
              <w:top w:val="double" w:color="000000" w:sz="6" w:space="0"/>
              <w:left w:val="double" w:color="000000" w:sz="6" w:space="0"/>
              <w:bottom w:val="double" w:color="000000" w:sz="6" w:space="0"/>
              <w:right w:val="double" w:color="000000" w:sz="6" w:space="0"/>
            </w:tcBorders>
            <w:noWrap w:val="0"/>
            <w:vAlign w:val="center"/>
          </w:tcPr>
          <w:p w14:paraId="27C94A62">
            <w:pPr>
              <w:keepNext w:val="0"/>
              <w:keepLines w:val="0"/>
              <w:widowControl/>
              <w:suppressLineNumbers w:val="0"/>
              <w:jc w:val="lef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投标响应与招标文件“第五章 采购需求”中“技术参数（规格）要求”，其中存在任意一条参数负偏离的，扣减4分/条，直至扣减到0分为止 。</w:t>
            </w:r>
          </w:p>
          <w:p w14:paraId="7ABADF3D">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p>
          <w:p w14:paraId="531BDD30">
            <w:pPr>
              <w:keepNext w:val="0"/>
              <w:keepLines w:val="0"/>
              <w:widowControl/>
              <w:suppressLineNumbers w:val="0"/>
              <w:jc w:val="left"/>
              <w:rPr>
                <w:rFonts w:hint="default"/>
                <w:color w:val="000000"/>
                <w:highlight w:val="none"/>
                <w:lang w:val="en-US" w:eastAsia="zh-CN"/>
              </w:rPr>
            </w:pPr>
            <w:r>
              <w:rPr>
                <w:rFonts w:hint="eastAsia" w:ascii="宋体" w:hAnsi="宋体" w:eastAsia="宋体" w:cs="宋体"/>
                <w:color w:val="000000"/>
                <w:kern w:val="0"/>
                <w:sz w:val="21"/>
                <w:szCs w:val="21"/>
                <w:highlight w:val="none"/>
                <w:lang w:val="en-US" w:eastAsia="zh-CN" w:bidi="ar"/>
              </w:rPr>
              <w:t>注：技术参数需厂家盖章的参数确认函或技术白皮书等证明材料，未加盖原厂鲜章的证明材料或未体现该项参数的响应情况的视为负偏离。</w:t>
            </w:r>
          </w:p>
        </w:tc>
      </w:tr>
      <w:tr w14:paraId="04D5D67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1230" w:type="dxa"/>
            <w:tcBorders>
              <w:top w:val="double" w:color="000000" w:sz="6" w:space="0"/>
              <w:left w:val="double" w:color="000000" w:sz="6" w:space="0"/>
              <w:bottom w:val="double" w:color="000000" w:sz="6" w:space="0"/>
              <w:right w:val="double" w:color="000000" w:sz="6" w:space="0"/>
            </w:tcBorders>
            <w:noWrap w:val="0"/>
            <w:vAlign w:val="center"/>
          </w:tcPr>
          <w:p w14:paraId="60AD45FA">
            <w:pPr>
              <w:spacing w:line="360" w:lineRule="auto"/>
              <w:jc w:val="center"/>
              <w:rPr>
                <w:rFonts w:ascii="宋体" w:hAnsi="宋体" w:cs="宋体"/>
                <w:b/>
                <w:color w:val="000000"/>
                <w:szCs w:val="21"/>
                <w:highlight w:val="none"/>
              </w:rPr>
            </w:pPr>
            <w:r>
              <w:rPr>
                <w:rFonts w:hint="eastAsia" w:ascii="宋体" w:hAnsi="宋体" w:cs="宋体"/>
                <w:b/>
                <w:color w:val="000000"/>
                <w:szCs w:val="21"/>
                <w:highlight w:val="none"/>
              </w:rPr>
              <w:t>得分</w:t>
            </w:r>
          </w:p>
        </w:tc>
        <w:tc>
          <w:tcPr>
            <w:tcW w:w="3750" w:type="dxa"/>
            <w:tcBorders>
              <w:top w:val="double" w:color="000000" w:sz="6" w:space="0"/>
              <w:left w:val="double" w:color="000000" w:sz="6" w:space="0"/>
              <w:bottom w:val="double" w:color="000000" w:sz="6" w:space="0"/>
              <w:right w:val="double" w:color="000000" w:sz="6" w:space="0"/>
            </w:tcBorders>
            <w:noWrap w:val="0"/>
            <w:vAlign w:val="center"/>
          </w:tcPr>
          <w:p w14:paraId="750D7FDB">
            <w:pPr>
              <w:spacing w:line="360" w:lineRule="auto"/>
              <w:jc w:val="center"/>
              <w:rPr>
                <w:rFonts w:ascii="宋体" w:hAnsi="宋体" w:cs="宋体"/>
                <w:bCs/>
                <w:color w:val="000000"/>
                <w:szCs w:val="21"/>
                <w:highlight w:val="none"/>
              </w:rPr>
            </w:pPr>
            <w:r>
              <w:rPr>
                <w:rFonts w:hint="eastAsia" w:ascii="宋体" w:hAnsi="宋体" w:cs="宋体"/>
                <w:bCs/>
                <w:color w:val="000000"/>
                <w:szCs w:val="21"/>
                <w:highlight w:val="none"/>
                <w:lang w:val="en-US" w:eastAsia="zh-CN"/>
              </w:rPr>
              <w:t>35</w:t>
            </w:r>
            <w:r>
              <w:rPr>
                <w:rFonts w:hint="eastAsia" w:ascii="宋体" w:hAnsi="宋体" w:cs="宋体"/>
                <w:bCs/>
                <w:color w:val="000000"/>
                <w:szCs w:val="21"/>
                <w:highlight w:val="none"/>
              </w:rPr>
              <w:t>分</w:t>
            </w:r>
          </w:p>
        </w:tc>
        <w:tc>
          <w:tcPr>
            <w:tcW w:w="4608" w:type="dxa"/>
            <w:vMerge w:val="continue"/>
            <w:tcBorders>
              <w:top w:val="double" w:color="000000" w:sz="6" w:space="0"/>
              <w:left w:val="double" w:color="000000" w:sz="6" w:space="0"/>
              <w:bottom w:val="double" w:color="000000" w:sz="6" w:space="0"/>
              <w:right w:val="double" w:color="000000" w:sz="6" w:space="0"/>
            </w:tcBorders>
            <w:noWrap w:val="0"/>
            <w:vAlign w:val="center"/>
          </w:tcPr>
          <w:p w14:paraId="2CFF8B59">
            <w:pPr>
              <w:spacing w:line="360" w:lineRule="auto"/>
              <w:jc w:val="center"/>
              <w:rPr>
                <w:rFonts w:ascii="宋体" w:hAnsi="宋体" w:cs="宋体"/>
                <w:bCs/>
                <w:color w:val="000000"/>
                <w:szCs w:val="21"/>
                <w:highlight w:val="none"/>
              </w:rPr>
            </w:pPr>
          </w:p>
        </w:tc>
      </w:tr>
    </w:tbl>
    <w:p w14:paraId="1BD37331">
      <w:pPr>
        <w:spacing w:line="360" w:lineRule="auto"/>
        <w:rPr>
          <w:rFonts w:hint="eastAsia" w:ascii="宋体" w:hAnsi="宋体"/>
          <w:b/>
          <w:color w:val="000000"/>
          <w:szCs w:val="21"/>
          <w:highlight w:val="none"/>
        </w:rPr>
      </w:pPr>
    </w:p>
    <w:p w14:paraId="1DA2604D">
      <w:pPr>
        <w:spacing w:line="360" w:lineRule="auto"/>
        <w:rPr>
          <w:rFonts w:hint="eastAsia" w:ascii="宋体" w:hAnsi="宋体"/>
          <w:b/>
          <w:color w:val="000000"/>
          <w:szCs w:val="21"/>
          <w:highlight w:val="none"/>
        </w:rPr>
      </w:pPr>
    </w:p>
    <w:p w14:paraId="4DD95E38">
      <w:pPr>
        <w:spacing w:line="360" w:lineRule="auto"/>
        <w:rPr>
          <w:rFonts w:ascii="宋体" w:hAnsi="宋体"/>
          <w:b/>
          <w:color w:val="000000"/>
          <w:szCs w:val="21"/>
          <w:highlight w:val="none"/>
        </w:rPr>
      </w:pPr>
      <w:r>
        <w:rPr>
          <w:rFonts w:hint="eastAsia" w:ascii="宋体" w:hAnsi="宋体"/>
          <w:b/>
          <w:color w:val="000000"/>
          <w:szCs w:val="21"/>
          <w:highlight w:val="none"/>
        </w:rPr>
        <w:t xml:space="preserve">2.2 </w:t>
      </w:r>
      <w:r>
        <w:rPr>
          <w:rFonts w:hint="eastAsia" w:ascii="宋体" w:hAnsi="宋体"/>
          <w:b/>
          <w:bCs/>
          <w:color w:val="000000"/>
          <w:highlight w:val="none"/>
        </w:rPr>
        <w:t>投标产品综合评价分</w:t>
      </w:r>
      <w:r>
        <w:rPr>
          <w:rFonts w:ascii="宋体" w:hAnsi="宋体"/>
          <w:b/>
          <w:color w:val="000000"/>
          <w:szCs w:val="21"/>
          <w:highlight w:val="none"/>
        </w:rPr>
        <w:t>(</w:t>
      </w:r>
      <w:r>
        <w:rPr>
          <w:rFonts w:hint="eastAsia" w:ascii="宋体" w:hAnsi="宋体"/>
          <w:b/>
          <w:color w:val="000000"/>
          <w:szCs w:val="21"/>
          <w:highlight w:val="none"/>
        </w:rPr>
        <w:t>满分5分</w:t>
      </w:r>
      <w:r>
        <w:rPr>
          <w:rFonts w:ascii="宋体" w:hAnsi="宋体"/>
          <w:b/>
          <w:color w:val="000000"/>
          <w:szCs w:val="21"/>
          <w:highlight w:val="none"/>
        </w:rPr>
        <w:t>)</w:t>
      </w:r>
    </w:p>
    <w:tbl>
      <w:tblPr>
        <w:tblStyle w:val="6"/>
        <w:tblW w:w="9699" w:type="dxa"/>
        <w:tblInd w:w="-113"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90"/>
        <w:gridCol w:w="8509"/>
      </w:tblGrid>
      <w:tr w14:paraId="672D936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489" w:hRule="atLeast"/>
        </w:trPr>
        <w:tc>
          <w:tcPr>
            <w:tcW w:w="1190" w:type="dxa"/>
            <w:tcBorders>
              <w:top w:val="double" w:color="000000" w:sz="6" w:space="0"/>
              <w:left w:val="double" w:color="000000" w:sz="6" w:space="0"/>
              <w:bottom w:val="double" w:color="000000" w:sz="6" w:space="0"/>
              <w:right w:val="double" w:color="000000" w:sz="6" w:space="0"/>
            </w:tcBorders>
            <w:noWrap w:val="0"/>
            <w:vAlign w:val="center"/>
          </w:tcPr>
          <w:p w14:paraId="3C42B544">
            <w:pPr>
              <w:spacing w:line="360" w:lineRule="auto"/>
              <w:jc w:val="center"/>
              <w:rPr>
                <w:rFonts w:ascii="宋体" w:hAnsi="宋体" w:cs="宋体"/>
                <w:b/>
                <w:caps/>
                <w:color w:val="000000"/>
                <w:szCs w:val="21"/>
                <w:highlight w:val="none"/>
              </w:rPr>
            </w:pPr>
            <w:r>
              <w:rPr>
                <w:rFonts w:hint="eastAsia" w:ascii="宋体" w:hAnsi="宋体" w:cs="宋体"/>
                <w:b/>
                <w:caps/>
                <w:color w:val="000000"/>
                <w:szCs w:val="21"/>
                <w:highlight w:val="none"/>
              </w:rPr>
              <w:t>标准</w:t>
            </w:r>
          </w:p>
        </w:tc>
        <w:tc>
          <w:tcPr>
            <w:tcW w:w="8509" w:type="dxa"/>
            <w:tcBorders>
              <w:top w:val="double" w:color="000000" w:sz="6" w:space="0"/>
              <w:left w:val="double" w:color="000000" w:sz="6" w:space="0"/>
              <w:bottom w:val="double" w:color="000000" w:sz="6" w:space="0"/>
              <w:right w:val="double" w:color="000000" w:sz="6" w:space="0"/>
            </w:tcBorders>
            <w:noWrap w:val="0"/>
            <w:vAlign w:val="center"/>
          </w:tcPr>
          <w:p w14:paraId="6E27A6AF">
            <w:pPr>
              <w:spacing w:line="400" w:lineRule="exact"/>
              <w:jc w:val="left"/>
              <w:rPr>
                <w:rFonts w:hint="eastAsia" w:ascii="Times New Roman" w:hAnsi="Times New Roman"/>
                <w:color w:val="000000"/>
                <w:highlight w:val="none"/>
              </w:rPr>
            </w:pPr>
            <w:r>
              <w:rPr>
                <w:rFonts w:hint="eastAsia"/>
                <w:color w:val="000000"/>
                <w:highlight w:val="none"/>
              </w:rPr>
              <w:t>评标委员会根据投标人所提供的产品技术资料，从产品的以下方面进行评价：（1）产品适用性</w:t>
            </w:r>
            <w:r>
              <w:rPr>
                <w:rFonts w:hint="eastAsia" w:ascii="Times New Roman" w:hAnsi="Times New Roman"/>
                <w:color w:val="000000"/>
                <w:highlight w:val="none"/>
              </w:rPr>
              <w:t>好、安全性强；（2）操作简易方便；（3）技术设计先进。投标人须提供投标产品的技术资料（说明书、宣传彩页、白皮书、检验报告、生产历史等）作为佐证材料。</w:t>
            </w:r>
          </w:p>
          <w:p w14:paraId="390579A0">
            <w:pPr>
              <w:pStyle w:val="5"/>
              <w:jc w:val="left"/>
              <w:rPr>
                <w:color w:val="000000"/>
                <w:highlight w:val="none"/>
                <w:lang w:val="en-US" w:eastAsia="zh-CN"/>
              </w:rPr>
            </w:pPr>
            <w:r>
              <w:rPr>
                <w:rFonts w:hint="eastAsia" w:ascii="Times New Roman" w:hAnsi="Times New Roman"/>
                <w:color w:val="000000"/>
                <w:highlight w:val="none"/>
                <w:lang w:val="en-US" w:eastAsia="zh-CN"/>
              </w:rPr>
              <w:t>（1）评委认为产品完全满足采购人需求，5分；                                                    （2）评委认为产品基本满足采购人需求，3分；                                           （3）评委认为产品勉强满足采购人需求，1分；                                        （4）未提供技术资料或不满足，0分。</w:t>
            </w:r>
          </w:p>
        </w:tc>
      </w:tr>
      <w:tr w14:paraId="080F11C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793" w:hRule="atLeast"/>
        </w:trPr>
        <w:tc>
          <w:tcPr>
            <w:tcW w:w="1190" w:type="dxa"/>
            <w:tcBorders>
              <w:top w:val="double" w:color="000000" w:sz="6" w:space="0"/>
              <w:left w:val="double" w:color="000000" w:sz="6" w:space="0"/>
              <w:bottom w:val="double" w:color="000000" w:sz="6" w:space="0"/>
              <w:right w:val="double" w:color="000000" w:sz="6" w:space="0"/>
            </w:tcBorders>
            <w:noWrap w:val="0"/>
            <w:vAlign w:val="center"/>
          </w:tcPr>
          <w:p w14:paraId="22176267">
            <w:pPr>
              <w:spacing w:line="360" w:lineRule="auto"/>
              <w:jc w:val="center"/>
              <w:rPr>
                <w:rFonts w:ascii="宋体" w:hAnsi="宋体" w:cs="宋体"/>
                <w:b/>
                <w:color w:val="000000"/>
                <w:szCs w:val="21"/>
                <w:highlight w:val="none"/>
              </w:rPr>
            </w:pPr>
            <w:r>
              <w:rPr>
                <w:rFonts w:hint="eastAsia" w:ascii="宋体" w:hAnsi="宋体" w:cs="宋体"/>
                <w:b/>
                <w:color w:val="000000"/>
                <w:szCs w:val="21"/>
                <w:highlight w:val="none"/>
              </w:rPr>
              <w:t>得分</w:t>
            </w:r>
          </w:p>
        </w:tc>
        <w:tc>
          <w:tcPr>
            <w:tcW w:w="8509" w:type="dxa"/>
            <w:tcBorders>
              <w:top w:val="double" w:color="000000" w:sz="6" w:space="0"/>
              <w:left w:val="double" w:color="000000" w:sz="6" w:space="0"/>
              <w:bottom w:val="double" w:color="000000" w:sz="6" w:space="0"/>
              <w:right w:val="double" w:color="000000" w:sz="6" w:space="0"/>
            </w:tcBorders>
            <w:noWrap w:val="0"/>
            <w:vAlign w:val="bottom"/>
          </w:tcPr>
          <w:p w14:paraId="6FAEA29D">
            <w:pPr>
              <w:spacing w:line="360" w:lineRule="auto"/>
              <w:jc w:val="center"/>
              <w:rPr>
                <w:rFonts w:ascii="宋体" w:hAnsi="宋体" w:cs="宋体"/>
                <w:bCs/>
                <w:color w:val="000000"/>
                <w:szCs w:val="21"/>
                <w:highlight w:val="none"/>
              </w:rPr>
            </w:pPr>
            <w:r>
              <w:rPr>
                <w:rFonts w:hint="eastAsia" w:ascii="宋体" w:hAnsi="宋体" w:cs="宋体"/>
                <w:bCs/>
                <w:color w:val="000000"/>
                <w:szCs w:val="21"/>
                <w:highlight w:val="none"/>
              </w:rPr>
              <w:t>0-5</w:t>
            </w:r>
          </w:p>
        </w:tc>
      </w:tr>
    </w:tbl>
    <w:p w14:paraId="658FFBEF">
      <w:pPr>
        <w:spacing w:line="360" w:lineRule="auto"/>
        <w:rPr>
          <w:rFonts w:hint="eastAsia" w:ascii="宋体" w:hAnsi="宋体"/>
          <w:b/>
          <w:color w:val="000000"/>
          <w:szCs w:val="21"/>
          <w:highlight w:val="none"/>
        </w:rPr>
      </w:pPr>
    </w:p>
    <w:p w14:paraId="601D7ECA">
      <w:pPr>
        <w:spacing w:line="360" w:lineRule="auto"/>
        <w:rPr>
          <w:rFonts w:ascii="宋体" w:hAnsi="宋体"/>
          <w:b/>
          <w:bCs/>
          <w:color w:val="000000"/>
          <w:szCs w:val="21"/>
          <w:highlight w:val="none"/>
        </w:rPr>
      </w:pPr>
      <w:r>
        <w:rPr>
          <w:rFonts w:hint="eastAsia" w:ascii="宋体" w:hAnsi="宋体" w:cs="宋体"/>
          <w:b/>
          <w:color w:val="000000"/>
          <w:szCs w:val="21"/>
          <w:highlight w:val="none"/>
        </w:rPr>
        <w:t>3.商务分：【满分</w:t>
      </w:r>
      <w:r>
        <w:rPr>
          <w:rFonts w:hint="eastAsia" w:ascii="宋体" w:hAnsi="宋体" w:cs="宋体"/>
          <w:b/>
          <w:color w:val="000000"/>
          <w:szCs w:val="21"/>
          <w:highlight w:val="none"/>
          <w:lang w:val="en-US" w:eastAsia="zh-CN"/>
        </w:rPr>
        <w:t>30</w:t>
      </w:r>
      <w:r>
        <w:rPr>
          <w:rFonts w:hint="eastAsia" w:ascii="宋体" w:hAnsi="宋体" w:cs="宋体"/>
          <w:b/>
          <w:color w:val="000000"/>
          <w:szCs w:val="21"/>
          <w:highlight w:val="none"/>
        </w:rPr>
        <w:t>分】</w:t>
      </w:r>
    </w:p>
    <w:p w14:paraId="54B706A6">
      <w:pPr>
        <w:spacing w:line="360" w:lineRule="auto"/>
        <w:rPr>
          <w:rFonts w:ascii="宋体" w:hAnsi="宋体"/>
          <w:b/>
          <w:bCs/>
          <w:color w:val="000000"/>
          <w:szCs w:val="21"/>
          <w:highlight w:val="none"/>
        </w:rPr>
      </w:pPr>
      <w:r>
        <w:rPr>
          <w:rFonts w:hint="eastAsia" w:ascii="宋体" w:hAnsi="宋体"/>
          <w:b/>
          <w:bCs/>
          <w:color w:val="000000"/>
          <w:szCs w:val="21"/>
          <w:highlight w:val="none"/>
        </w:rPr>
        <w:t>3.1售后服务分评价分（满分5分）</w:t>
      </w:r>
    </w:p>
    <w:tbl>
      <w:tblPr>
        <w:tblStyle w:val="6"/>
        <w:tblW w:w="9522" w:type="dxa"/>
        <w:tblInd w:w="-113"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44"/>
        <w:gridCol w:w="8278"/>
      </w:tblGrid>
      <w:tr w14:paraId="3BECDA0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948" w:hRule="atLeast"/>
        </w:trPr>
        <w:tc>
          <w:tcPr>
            <w:tcW w:w="1244" w:type="dxa"/>
            <w:tcBorders>
              <w:top w:val="double" w:color="000000" w:sz="6" w:space="0"/>
              <w:left w:val="double" w:color="000000" w:sz="6" w:space="0"/>
              <w:bottom w:val="double" w:color="000000" w:sz="6" w:space="0"/>
              <w:right w:val="double" w:color="000000" w:sz="6" w:space="0"/>
            </w:tcBorders>
            <w:noWrap w:val="0"/>
            <w:vAlign w:val="center"/>
          </w:tcPr>
          <w:p w14:paraId="406195D0">
            <w:pPr>
              <w:spacing w:line="360" w:lineRule="auto"/>
              <w:jc w:val="center"/>
              <w:rPr>
                <w:rFonts w:ascii="宋体" w:hAnsi="宋体" w:cs="宋体"/>
                <w:b/>
                <w:caps/>
                <w:color w:val="000000"/>
                <w:szCs w:val="21"/>
                <w:highlight w:val="none"/>
              </w:rPr>
            </w:pPr>
            <w:r>
              <w:rPr>
                <w:rFonts w:hint="eastAsia" w:ascii="宋体" w:hAnsi="宋体" w:cs="宋体"/>
                <w:b/>
                <w:caps/>
                <w:color w:val="000000"/>
                <w:szCs w:val="21"/>
                <w:highlight w:val="none"/>
              </w:rPr>
              <w:t>标准</w:t>
            </w:r>
          </w:p>
        </w:tc>
        <w:tc>
          <w:tcPr>
            <w:tcW w:w="8278" w:type="dxa"/>
            <w:tcBorders>
              <w:top w:val="double" w:color="000000" w:sz="6" w:space="0"/>
              <w:left w:val="double" w:color="000000" w:sz="6" w:space="0"/>
              <w:bottom w:val="double" w:color="000000" w:sz="6" w:space="0"/>
              <w:right w:val="double" w:color="000000" w:sz="6" w:space="0"/>
            </w:tcBorders>
            <w:noWrap w:val="0"/>
            <w:vAlign w:val="center"/>
          </w:tcPr>
          <w:p w14:paraId="5464FBEF">
            <w:pPr>
              <w:spacing w:line="400" w:lineRule="exact"/>
              <w:rPr>
                <w:rFonts w:hint="eastAsia" w:ascii="宋体" w:hAnsi="宋体"/>
                <w:b/>
                <w:bCs/>
                <w:color w:val="000000"/>
                <w:szCs w:val="21"/>
                <w:highlight w:val="none"/>
              </w:rPr>
            </w:pPr>
            <w:r>
              <w:rPr>
                <w:rFonts w:hint="eastAsia" w:ascii="宋体" w:hAnsi="宋体"/>
                <w:b/>
                <w:bCs/>
                <w:color w:val="000000"/>
                <w:szCs w:val="21"/>
                <w:highlight w:val="none"/>
              </w:rPr>
              <w:t>根据投标供应商的售后服务方案内容进行综合评价（方案内容包含但不限于：服务范围、服务保证、人员配备、保障措施、服务体系等）。</w:t>
            </w:r>
          </w:p>
          <w:p w14:paraId="2568A4EF">
            <w:pPr>
              <w:spacing w:line="400" w:lineRule="exact"/>
              <w:rPr>
                <w:rFonts w:hint="eastAsia" w:ascii="宋体" w:hAnsi="宋体"/>
                <w:color w:val="000000"/>
                <w:szCs w:val="21"/>
                <w:highlight w:val="none"/>
              </w:rPr>
            </w:pPr>
            <w:r>
              <w:rPr>
                <w:rFonts w:hint="eastAsia" w:ascii="宋体" w:hAnsi="宋体"/>
                <w:color w:val="000000"/>
                <w:szCs w:val="21"/>
                <w:highlight w:val="none"/>
              </w:rPr>
              <w:t>1、售后服务方案根据上述内容要求编制具体全面，服务范围广泛，保障措施完善，人员齐全，服务体系全面合理：得5分；</w:t>
            </w:r>
          </w:p>
          <w:p w14:paraId="5E659884">
            <w:pPr>
              <w:spacing w:line="400" w:lineRule="exact"/>
              <w:rPr>
                <w:rFonts w:hint="eastAsia" w:ascii="宋体" w:hAnsi="宋体"/>
                <w:color w:val="000000"/>
                <w:szCs w:val="21"/>
                <w:highlight w:val="none"/>
              </w:rPr>
            </w:pPr>
            <w:r>
              <w:rPr>
                <w:rFonts w:hint="eastAsia" w:ascii="宋体" w:hAnsi="宋体"/>
                <w:color w:val="000000"/>
                <w:szCs w:val="21"/>
                <w:highlight w:val="none"/>
              </w:rPr>
              <w:t>2、售后服务方案根据上述内容要求编制较简单，服务范围、保障措施、人员配置、服务体系一般：得3分；</w:t>
            </w:r>
          </w:p>
          <w:p w14:paraId="6959C4DF">
            <w:pPr>
              <w:spacing w:line="400" w:lineRule="exact"/>
              <w:rPr>
                <w:rFonts w:hint="eastAsia" w:ascii="宋体" w:hAnsi="宋体"/>
                <w:color w:val="000000"/>
                <w:szCs w:val="21"/>
                <w:highlight w:val="none"/>
              </w:rPr>
            </w:pPr>
            <w:r>
              <w:rPr>
                <w:rFonts w:hint="eastAsia" w:ascii="宋体" w:hAnsi="宋体"/>
                <w:color w:val="000000"/>
                <w:szCs w:val="21"/>
                <w:highlight w:val="none"/>
              </w:rPr>
              <w:t>3、售后服务方案根据上述内容要求编制粗陋，服务范围、保障措施、人员配置、服务体系较差：得1分；</w:t>
            </w:r>
          </w:p>
          <w:p w14:paraId="6040A74E">
            <w:pPr>
              <w:pStyle w:val="5"/>
              <w:rPr>
                <w:color w:val="000000"/>
                <w:highlight w:val="none"/>
                <w:lang w:val="en-US" w:eastAsia="zh-CN"/>
              </w:rPr>
            </w:pPr>
            <w:r>
              <w:rPr>
                <w:rFonts w:hint="eastAsia" w:ascii="宋体" w:hAnsi="宋体"/>
                <w:color w:val="000000"/>
                <w:szCs w:val="21"/>
                <w:highlight w:val="none"/>
                <w:lang w:val="en-US" w:eastAsia="zh-CN"/>
              </w:rPr>
              <w:t>4、售后服务方案不满足采购人需求或未提供售后服务方案：得0分。</w:t>
            </w:r>
          </w:p>
        </w:tc>
      </w:tr>
      <w:tr w14:paraId="2A87BA3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1244" w:type="dxa"/>
            <w:tcBorders>
              <w:top w:val="double" w:color="000000" w:sz="6" w:space="0"/>
              <w:left w:val="double" w:color="000000" w:sz="6" w:space="0"/>
              <w:bottom w:val="double" w:color="000000" w:sz="6" w:space="0"/>
              <w:right w:val="double" w:color="000000" w:sz="6" w:space="0"/>
            </w:tcBorders>
            <w:noWrap w:val="0"/>
            <w:vAlign w:val="center"/>
          </w:tcPr>
          <w:p w14:paraId="2E2FD6B7">
            <w:pPr>
              <w:spacing w:line="360" w:lineRule="auto"/>
              <w:jc w:val="center"/>
              <w:rPr>
                <w:rFonts w:ascii="宋体" w:hAnsi="宋体" w:cs="宋体"/>
                <w:b/>
                <w:color w:val="000000"/>
                <w:szCs w:val="21"/>
                <w:highlight w:val="none"/>
              </w:rPr>
            </w:pPr>
            <w:r>
              <w:rPr>
                <w:rFonts w:hint="eastAsia" w:ascii="宋体" w:hAnsi="宋体" w:cs="宋体"/>
                <w:b/>
                <w:color w:val="000000"/>
                <w:szCs w:val="21"/>
                <w:highlight w:val="none"/>
              </w:rPr>
              <w:t>得分</w:t>
            </w:r>
          </w:p>
        </w:tc>
        <w:tc>
          <w:tcPr>
            <w:tcW w:w="8278" w:type="dxa"/>
            <w:tcBorders>
              <w:top w:val="double" w:color="000000" w:sz="6" w:space="0"/>
              <w:left w:val="double" w:color="000000" w:sz="6" w:space="0"/>
              <w:bottom w:val="double" w:color="000000" w:sz="6" w:space="0"/>
              <w:right w:val="double" w:color="000000" w:sz="6" w:space="0"/>
            </w:tcBorders>
            <w:noWrap w:val="0"/>
            <w:vAlign w:val="bottom"/>
          </w:tcPr>
          <w:p w14:paraId="06A66D5F">
            <w:pPr>
              <w:spacing w:line="360" w:lineRule="auto"/>
              <w:jc w:val="center"/>
              <w:rPr>
                <w:rFonts w:ascii="宋体" w:hAnsi="宋体" w:cs="宋体"/>
                <w:bCs/>
                <w:color w:val="000000"/>
                <w:szCs w:val="21"/>
                <w:highlight w:val="none"/>
              </w:rPr>
            </w:pPr>
            <w:r>
              <w:rPr>
                <w:rFonts w:hint="eastAsia" w:ascii="宋体" w:hAnsi="宋体" w:cs="宋体"/>
                <w:bCs/>
                <w:color w:val="000000"/>
                <w:szCs w:val="21"/>
                <w:highlight w:val="none"/>
              </w:rPr>
              <w:t>0-5</w:t>
            </w:r>
          </w:p>
        </w:tc>
      </w:tr>
    </w:tbl>
    <w:p w14:paraId="1E7FC81A">
      <w:pPr>
        <w:spacing w:line="360" w:lineRule="auto"/>
        <w:rPr>
          <w:rFonts w:hint="eastAsia" w:ascii="宋体" w:hAnsi="宋体"/>
          <w:b/>
          <w:color w:val="000000"/>
          <w:szCs w:val="21"/>
          <w:highlight w:val="none"/>
        </w:rPr>
      </w:pPr>
    </w:p>
    <w:p w14:paraId="49E6C9CF">
      <w:pPr>
        <w:spacing w:line="360" w:lineRule="auto"/>
        <w:rPr>
          <w:rFonts w:ascii="宋体" w:hAnsi="宋体" w:cs="Arial"/>
          <w:b/>
          <w:bCs/>
          <w:color w:val="000000"/>
          <w:szCs w:val="21"/>
          <w:highlight w:val="none"/>
        </w:rPr>
      </w:pPr>
      <w:r>
        <w:rPr>
          <w:rFonts w:hint="eastAsia" w:ascii="宋体" w:hAnsi="宋体"/>
          <w:b/>
          <w:color w:val="000000"/>
          <w:szCs w:val="21"/>
          <w:highlight w:val="none"/>
        </w:rPr>
        <w:t>3</w:t>
      </w:r>
      <w:r>
        <w:rPr>
          <w:rFonts w:ascii="宋体" w:hAnsi="宋体"/>
          <w:b/>
          <w:color w:val="000000"/>
          <w:szCs w:val="21"/>
          <w:highlight w:val="none"/>
        </w:rPr>
        <w:t>.</w:t>
      </w:r>
      <w:r>
        <w:rPr>
          <w:rFonts w:hint="eastAsia" w:ascii="宋体" w:hAnsi="宋体"/>
          <w:b/>
          <w:color w:val="000000"/>
          <w:szCs w:val="21"/>
          <w:highlight w:val="none"/>
        </w:rPr>
        <w:t>2</w:t>
      </w:r>
      <w:r>
        <w:rPr>
          <w:rFonts w:hint="eastAsia" w:ascii="宋体" w:hAnsi="宋体" w:cs="Arial"/>
          <w:b/>
          <w:bCs/>
          <w:color w:val="000000"/>
          <w:szCs w:val="21"/>
          <w:highlight w:val="none"/>
          <w:lang w:val="en-US" w:eastAsia="zh-CN"/>
        </w:rPr>
        <w:t>业绩评价</w:t>
      </w:r>
      <w:r>
        <w:rPr>
          <w:rFonts w:hint="eastAsia" w:ascii="宋体" w:hAnsi="宋体" w:cs="Arial"/>
          <w:b/>
          <w:bCs/>
          <w:color w:val="000000"/>
          <w:szCs w:val="21"/>
          <w:highlight w:val="none"/>
        </w:rPr>
        <w:t>分</w:t>
      </w:r>
      <w:r>
        <w:rPr>
          <w:rFonts w:hint="eastAsia" w:ascii="宋体" w:hAnsi="宋体"/>
          <w:b/>
          <w:color w:val="000000"/>
          <w:szCs w:val="21"/>
          <w:highlight w:val="none"/>
        </w:rPr>
        <w:t>（满分10分）</w:t>
      </w:r>
    </w:p>
    <w:tbl>
      <w:tblPr>
        <w:tblStyle w:val="6"/>
        <w:tblW w:w="9522" w:type="dxa"/>
        <w:tblInd w:w="-113"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44"/>
        <w:gridCol w:w="8278"/>
      </w:tblGrid>
      <w:tr w14:paraId="3F6DD8F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948" w:hRule="atLeast"/>
        </w:trPr>
        <w:tc>
          <w:tcPr>
            <w:tcW w:w="1244" w:type="dxa"/>
            <w:tcBorders>
              <w:top w:val="double" w:color="000000" w:sz="6" w:space="0"/>
              <w:left w:val="double" w:color="000000" w:sz="6" w:space="0"/>
              <w:bottom w:val="double" w:color="000000" w:sz="6" w:space="0"/>
              <w:right w:val="double" w:color="000000" w:sz="6" w:space="0"/>
            </w:tcBorders>
            <w:noWrap w:val="0"/>
            <w:vAlign w:val="center"/>
          </w:tcPr>
          <w:p w14:paraId="3F83BA04">
            <w:pPr>
              <w:spacing w:line="360" w:lineRule="auto"/>
              <w:jc w:val="center"/>
              <w:rPr>
                <w:rFonts w:ascii="宋体" w:hAnsi="宋体" w:cs="宋体"/>
                <w:b/>
                <w:caps/>
                <w:color w:val="000000"/>
                <w:szCs w:val="21"/>
                <w:highlight w:val="none"/>
              </w:rPr>
            </w:pPr>
            <w:r>
              <w:rPr>
                <w:rFonts w:hint="eastAsia" w:ascii="宋体" w:hAnsi="宋体" w:cs="宋体"/>
                <w:b/>
                <w:caps/>
                <w:color w:val="000000"/>
                <w:szCs w:val="21"/>
                <w:highlight w:val="none"/>
              </w:rPr>
              <w:t>标准</w:t>
            </w:r>
          </w:p>
        </w:tc>
        <w:tc>
          <w:tcPr>
            <w:tcW w:w="8278" w:type="dxa"/>
            <w:tcBorders>
              <w:top w:val="double" w:color="000000" w:sz="6" w:space="0"/>
              <w:left w:val="double" w:color="000000" w:sz="6" w:space="0"/>
              <w:bottom w:val="double" w:color="000000" w:sz="6" w:space="0"/>
              <w:right w:val="double" w:color="000000" w:sz="6" w:space="0"/>
            </w:tcBorders>
            <w:noWrap w:val="0"/>
            <w:vAlign w:val="center"/>
          </w:tcPr>
          <w:p w14:paraId="784766AD">
            <w:pPr>
              <w:spacing w:line="360" w:lineRule="auto"/>
              <w:rPr>
                <w:rFonts w:hint="eastAsia" w:ascii="宋体" w:hAnsi="宋体" w:eastAsia="宋体" w:cs="宋体"/>
                <w:b w:val="0"/>
                <w:bCs w:val="0"/>
                <w:sz w:val="21"/>
                <w:szCs w:val="21"/>
                <w:lang w:eastAsia="zh-CN"/>
              </w:rPr>
            </w:pPr>
            <w:r>
              <w:rPr>
                <w:rFonts w:hint="eastAsia" w:ascii="宋体" w:hAnsi="宋体" w:eastAsia="宋体" w:cs="宋体"/>
                <w:b/>
                <w:bCs/>
                <w:sz w:val="21"/>
                <w:szCs w:val="21"/>
              </w:rPr>
              <w:t>评标委员会根据投标人提供20</w:t>
            </w:r>
            <w:r>
              <w:rPr>
                <w:rFonts w:hint="eastAsia" w:ascii="宋体" w:hAnsi="宋体" w:eastAsia="宋体" w:cs="宋体"/>
                <w:b/>
                <w:bCs/>
                <w:sz w:val="21"/>
                <w:szCs w:val="21"/>
                <w:lang w:val="en-US" w:eastAsia="zh-CN"/>
              </w:rPr>
              <w:t>21</w:t>
            </w:r>
            <w:r>
              <w:rPr>
                <w:rFonts w:hint="eastAsia" w:ascii="宋体" w:hAnsi="宋体" w:eastAsia="宋体" w:cs="宋体"/>
                <w:b/>
                <w:bCs/>
                <w:sz w:val="21"/>
                <w:szCs w:val="21"/>
              </w:rPr>
              <w:t>年1月1日</w:t>
            </w:r>
            <w:r>
              <w:rPr>
                <w:rFonts w:hint="eastAsia" w:ascii="宋体" w:hAnsi="宋体" w:eastAsia="宋体" w:cs="宋体"/>
                <w:b/>
                <w:bCs/>
                <w:color w:val="FF0000"/>
                <w:sz w:val="21"/>
                <w:szCs w:val="21"/>
              </w:rPr>
              <w:t>至今的</w:t>
            </w:r>
            <w:r>
              <w:rPr>
                <w:rFonts w:hint="eastAsia" w:ascii="宋体" w:hAnsi="宋体" w:eastAsia="宋体" w:cs="宋体"/>
                <w:b/>
                <w:bCs/>
                <w:color w:val="FF0000"/>
                <w:sz w:val="21"/>
                <w:szCs w:val="21"/>
                <w:lang w:val="en-US" w:eastAsia="zh-CN"/>
              </w:rPr>
              <w:t>产品</w:t>
            </w:r>
            <w:r>
              <w:rPr>
                <w:rFonts w:hint="eastAsia" w:ascii="宋体" w:hAnsi="宋体" w:eastAsia="宋体" w:cs="宋体"/>
                <w:b/>
                <w:bCs/>
                <w:color w:val="FF0000"/>
                <w:sz w:val="21"/>
                <w:szCs w:val="21"/>
              </w:rPr>
              <w:t>政府采购销售业绩份数（</w:t>
            </w:r>
            <w:r>
              <w:rPr>
                <w:rFonts w:hint="eastAsia" w:ascii="宋体" w:hAnsi="宋体" w:eastAsia="宋体" w:cs="宋体"/>
                <w:b/>
                <w:bCs/>
                <w:color w:val="FF0000"/>
                <w:sz w:val="21"/>
                <w:szCs w:val="21"/>
                <w:lang w:val="en-US" w:eastAsia="zh-CN"/>
              </w:rPr>
              <w:t>厂家</w:t>
            </w:r>
            <w:r>
              <w:rPr>
                <w:rFonts w:hint="eastAsia" w:ascii="宋体" w:hAnsi="宋体" w:eastAsia="宋体" w:cs="宋体"/>
                <w:b/>
                <w:bCs/>
                <w:color w:val="FF0000"/>
                <w:sz w:val="21"/>
                <w:szCs w:val="21"/>
              </w:rPr>
              <w:t>的业绩）进行评价</w:t>
            </w:r>
            <w:r>
              <w:rPr>
                <w:rFonts w:hint="eastAsia" w:ascii="宋体" w:hAnsi="宋体" w:eastAsia="宋体" w:cs="宋体"/>
                <w:b/>
                <w:bCs/>
                <w:color w:val="FF0000"/>
                <w:sz w:val="21"/>
                <w:szCs w:val="21"/>
                <w:lang w:eastAsia="zh-CN"/>
              </w:rPr>
              <w:t>。</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须提供清晰的采购合同复印件或中标通知书复印件作为证明材料</w:t>
            </w:r>
            <w:r>
              <w:rPr>
                <w:rFonts w:hint="eastAsia" w:ascii="宋体" w:hAnsi="宋体" w:eastAsia="宋体" w:cs="宋体"/>
                <w:b w:val="0"/>
                <w:bCs w:val="0"/>
                <w:sz w:val="21"/>
                <w:szCs w:val="21"/>
                <w:lang w:eastAsia="zh-CN"/>
              </w:rPr>
              <w:t>）</w:t>
            </w:r>
          </w:p>
          <w:p w14:paraId="78AB3C57">
            <w:pPr>
              <w:pStyle w:val="5"/>
              <w:rPr>
                <w:rFonts w:hint="default"/>
                <w:color w:val="000000"/>
                <w:highlight w:val="none"/>
                <w:lang w:val="en-US" w:eastAsia="zh-CN"/>
              </w:rPr>
            </w:pPr>
            <w:r>
              <w:rPr>
                <w:rFonts w:hint="eastAsia"/>
                <w:color w:val="000000"/>
                <w:highlight w:val="none"/>
                <w:lang w:val="en-US" w:eastAsia="zh-CN"/>
              </w:rPr>
              <w:t>每提供一份得2.5份，满分10分。</w:t>
            </w:r>
          </w:p>
        </w:tc>
      </w:tr>
      <w:tr w14:paraId="4E7B9BE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1244" w:type="dxa"/>
            <w:tcBorders>
              <w:top w:val="double" w:color="000000" w:sz="6" w:space="0"/>
              <w:left w:val="double" w:color="000000" w:sz="6" w:space="0"/>
              <w:bottom w:val="double" w:color="000000" w:sz="6" w:space="0"/>
              <w:right w:val="double" w:color="000000" w:sz="6" w:space="0"/>
            </w:tcBorders>
            <w:noWrap w:val="0"/>
            <w:vAlign w:val="center"/>
          </w:tcPr>
          <w:p w14:paraId="21A418CD">
            <w:pPr>
              <w:spacing w:line="360" w:lineRule="auto"/>
              <w:jc w:val="center"/>
              <w:rPr>
                <w:rFonts w:ascii="宋体" w:hAnsi="宋体" w:cs="宋体"/>
                <w:b/>
                <w:color w:val="000000"/>
                <w:szCs w:val="21"/>
                <w:highlight w:val="none"/>
              </w:rPr>
            </w:pPr>
            <w:r>
              <w:rPr>
                <w:rFonts w:hint="eastAsia" w:ascii="宋体" w:hAnsi="宋体" w:cs="宋体"/>
                <w:b/>
                <w:color w:val="000000"/>
                <w:szCs w:val="21"/>
                <w:highlight w:val="none"/>
              </w:rPr>
              <w:t>得分</w:t>
            </w:r>
          </w:p>
        </w:tc>
        <w:tc>
          <w:tcPr>
            <w:tcW w:w="8278" w:type="dxa"/>
            <w:tcBorders>
              <w:top w:val="double" w:color="000000" w:sz="6" w:space="0"/>
              <w:left w:val="double" w:color="000000" w:sz="6" w:space="0"/>
              <w:bottom w:val="double" w:color="000000" w:sz="6" w:space="0"/>
              <w:right w:val="double" w:color="000000" w:sz="6" w:space="0"/>
            </w:tcBorders>
            <w:noWrap w:val="0"/>
            <w:vAlign w:val="bottom"/>
          </w:tcPr>
          <w:p w14:paraId="0D006EC9">
            <w:pPr>
              <w:spacing w:line="360" w:lineRule="auto"/>
              <w:jc w:val="center"/>
              <w:rPr>
                <w:rFonts w:hint="default" w:ascii="宋体" w:hAnsi="宋体" w:eastAsia="宋体" w:cs="宋体"/>
                <w:bCs/>
                <w:color w:val="000000"/>
                <w:szCs w:val="21"/>
                <w:highlight w:val="none"/>
                <w:lang w:val="en-US" w:eastAsia="zh-CN"/>
              </w:rPr>
            </w:pPr>
            <w:r>
              <w:rPr>
                <w:rFonts w:hint="eastAsia" w:ascii="宋体" w:hAnsi="宋体" w:cs="宋体"/>
                <w:bCs/>
                <w:color w:val="000000"/>
                <w:szCs w:val="21"/>
                <w:highlight w:val="none"/>
              </w:rPr>
              <w:t>0-</w:t>
            </w:r>
            <w:r>
              <w:rPr>
                <w:rFonts w:hint="eastAsia" w:ascii="宋体" w:hAnsi="宋体" w:cs="宋体"/>
                <w:bCs/>
                <w:color w:val="000000"/>
                <w:szCs w:val="21"/>
                <w:highlight w:val="none"/>
                <w:lang w:val="en-US" w:eastAsia="zh-CN"/>
              </w:rPr>
              <w:t>10</w:t>
            </w:r>
          </w:p>
        </w:tc>
      </w:tr>
    </w:tbl>
    <w:p w14:paraId="04A7ABC5">
      <w:pPr>
        <w:spacing w:line="360" w:lineRule="auto"/>
        <w:rPr>
          <w:rFonts w:hint="eastAsia" w:ascii="宋体" w:hAnsi="宋体"/>
          <w:b/>
          <w:color w:val="000000"/>
          <w:szCs w:val="21"/>
          <w:highlight w:val="none"/>
        </w:rPr>
      </w:pPr>
    </w:p>
    <w:p w14:paraId="0FA94C08">
      <w:pPr>
        <w:spacing w:line="360" w:lineRule="auto"/>
        <w:rPr>
          <w:rFonts w:ascii="宋体" w:hAnsi="宋体" w:cs="Arial"/>
          <w:b/>
          <w:bCs/>
          <w:color w:val="000000"/>
          <w:szCs w:val="21"/>
          <w:highlight w:val="none"/>
        </w:rPr>
      </w:pPr>
      <w:r>
        <w:rPr>
          <w:rFonts w:hint="eastAsia" w:ascii="宋体" w:hAnsi="宋体"/>
          <w:b/>
          <w:color w:val="000000"/>
          <w:szCs w:val="21"/>
          <w:highlight w:val="none"/>
        </w:rPr>
        <w:t>3</w:t>
      </w:r>
      <w:r>
        <w:rPr>
          <w:rFonts w:ascii="宋体" w:hAnsi="宋体"/>
          <w:b/>
          <w:color w:val="000000"/>
          <w:szCs w:val="21"/>
          <w:highlight w:val="none"/>
        </w:rPr>
        <w:t>.</w:t>
      </w:r>
      <w:r>
        <w:rPr>
          <w:rFonts w:hint="eastAsia" w:ascii="宋体" w:hAnsi="宋体"/>
          <w:b/>
          <w:color w:val="000000"/>
          <w:szCs w:val="21"/>
          <w:highlight w:val="none"/>
          <w:lang w:val="en-US" w:eastAsia="zh-CN"/>
        </w:rPr>
        <w:t>3</w:t>
      </w:r>
      <w:r>
        <w:rPr>
          <w:rFonts w:hint="eastAsia" w:ascii="宋体" w:hAnsi="宋体" w:cs="Arial"/>
          <w:b/>
          <w:bCs/>
          <w:color w:val="000000"/>
          <w:szCs w:val="21"/>
          <w:highlight w:val="none"/>
        </w:rPr>
        <w:t>授权评价分</w:t>
      </w:r>
      <w:r>
        <w:rPr>
          <w:rFonts w:hint="eastAsia" w:ascii="宋体" w:hAnsi="宋体"/>
          <w:b/>
          <w:color w:val="000000"/>
          <w:szCs w:val="21"/>
          <w:highlight w:val="none"/>
        </w:rPr>
        <w:t>（满分</w:t>
      </w:r>
      <w:r>
        <w:rPr>
          <w:rFonts w:hint="eastAsia" w:ascii="宋体" w:hAnsi="宋体"/>
          <w:b/>
          <w:color w:val="000000"/>
          <w:szCs w:val="21"/>
          <w:highlight w:val="none"/>
          <w:lang w:val="en-US" w:eastAsia="zh-CN"/>
        </w:rPr>
        <w:t>5</w:t>
      </w:r>
      <w:r>
        <w:rPr>
          <w:rFonts w:hint="eastAsia" w:ascii="宋体" w:hAnsi="宋体"/>
          <w:b/>
          <w:color w:val="000000"/>
          <w:szCs w:val="21"/>
          <w:highlight w:val="none"/>
        </w:rPr>
        <w:t>分）</w:t>
      </w:r>
    </w:p>
    <w:tbl>
      <w:tblPr>
        <w:tblStyle w:val="6"/>
        <w:tblW w:w="9522" w:type="dxa"/>
        <w:tblInd w:w="-113"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44"/>
        <w:gridCol w:w="8278"/>
      </w:tblGrid>
      <w:tr w14:paraId="19225C2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948" w:hRule="atLeast"/>
        </w:trPr>
        <w:tc>
          <w:tcPr>
            <w:tcW w:w="1244" w:type="dxa"/>
            <w:tcBorders>
              <w:top w:val="double" w:color="000000" w:sz="6" w:space="0"/>
              <w:left w:val="double" w:color="000000" w:sz="6" w:space="0"/>
              <w:bottom w:val="double" w:color="000000" w:sz="6" w:space="0"/>
              <w:right w:val="double" w:color="000000" w:sz="6" w:space="0"/>
            </w:tcBorders>
            <w:noWrap w:val="0"/>
            <w:vAlign w:val="center"/>
          </w:tcPr>
          <w:p w14:paraId="1FA7F2E4">
            <w:pPr>
              <w:spacing w:line="360" w:lineRule="auto"/>
              <w:jc w:val="center"/>
              <w:rPr>
                <w:rFonts w:ascii="宋体" w:hAnsi="宋体" w:cs="宋体"/>
                <w:b/>
                <w:caps/>
                <w:color w:val="000000"/>
                <w:szCs w:val="21"/>
                <w:highlight w:val="none"/>
              </w:rPr>
            </w:pPr>
            <w:r>
              <w:rPr>
                <w:rFonts w:hint="eastAsia" w:ascii="宋体" w:hAnsi="宋体" w:cs="宋体"/>
                <w:b/>
                <w:caps/>
                <w:color w:val="000000"/>
                <w:szCs w:val="21"/>
                <w:highlight w:val="none"/>
              </w:rPr>
              <w:t>标准</w:t>
            </w:r>
          </w:p>
        </w:tc>
        <w:tc>
          <w:tcPr>
            <w:tcW w:w="8278" w:type="dxa"/>
            <w:tcBorders>
              <w:top w:val="double" w:color="000000" w:sz="6" w:space="0"/>
              <w:left w:val="double" w:color="000000" w:sz="6" w:space="0"/>
              <w:bottom w:val="double" w:color="000000" w:sz="6" w:space="0"/>
              <w:right w:val="double" w:color="000000" w:sz="6" w:space="0"/>
            </w:tcBorders>
            <w:noWrap w:val="0"/>
            <w:vAlign w:val="center"/>
          </w:tcPr>
          <w:p w14:paraId="1D099480">
            <w:pPr>
              <w:spacing w:line="400" w:lineRule="exact"/>
              <w:rPr>
                <w:rFonts w:hint="eastAsia" w:ascii="宋体" w:hAnsi="宋体" w:cs="宋体"/>
                <w:color w:val="000000"/>
                <w:szCs w:val="21"/>
                <w:highlight w:val="none"/>
              </w:rPr>
            </w:pPr>
            <w:r>
              <w:rPr>
                <w:rFonts w:hint="eastAsia" w:ascii="宋体" w:hAnsi="宋体" w:cs="宋体"/>
                <w:color w:val="000000"/>
                <w:szCs w:val="21"/>
                <w:highlight w:val="none"/>
              </w:rPr>
              <w:t>根据投标供应商提供产品生产制造商或有效授权单位（提供证明材料）针对本项目出具的有效销售授权书进行评价（须注明产品名称及型号） 。</w:t>
            </w:r>
          </w:p>
          <w:p w14:paraId="3E769793">
            <w:pPr>
              <w:pStyle w:val="3"/>
              <w:outlineLvl w:val="3"/>
              <w:rPr>
                <w:rFonts w:hint="eastAsia" w:cs="宋体"/>
                <w:color w:val="000000"/>
                <w:sz w:val="21"/>
                <w:szCs w:val="21"/>
                <w:highlight w:val="none"/>
              </w:rPr>
            </w:pPr>
            <w:r>
              <w:rPr>
                <w:rFonts w:hint="eastAsia" w:cs="宋体"/>
                <w:color w:val="000000"/>
                <w:sz w:val="21"/>
                <w:szCs w:val="21"/>
                <w:highlight w:val="none"/>
              </w:rPr>
              <w:t>1、提供：</w:t>
            </w:r>
            <w:r>
              <w:rPr>
                <w:rFonts w:hint="eastAsia" w:cs="宋体"/>
                <w:color w:val="000000"/>
                <w:sz w:val="21"/>
                <w:szCs w:val="21"/>
                <w:highlight w:val="none"/>
                <w:lang w:val="en-US" w:eastAsia="zh-CN"/>
              </w:rPr>
              <w:t>5</w:t>
            </w:r>
            <w:r>
              <w:rPr>
                <w:rFonts w:hint="eastAsia" w:cs="宋体"/>
                <w:color w:val="000000"/>
                <w:sz w:val="21"/>
                <w:szCs w:val="21"/>
                <w:highlight w:val="none"/>
              </w:rPr>
              <w:t>分；</w:t>
            </w:r>
          </w:p>
          <w:p w14:paraId="2B44CDE3">
            <w:pPr>
              <w:pStyle w:val="5"/>
              <w:rPr>
                <w:color w:val="000000"/>
                <w:highlight w:val="none"/>
                <w:lang w:val="en-US" w:eastAsia="zh-CN"/>
              </w:rPr>
            </w:pPr>
            <w:r>
              <w:rPr>
                <w:rFonts w:hint="eastAsia" w:ascii="宋体" w:hAnsi="宋体" w:cs="宋体"/>
                <w:color w:val="000000"/>
                <w:szCs w:val="21"/>
                <w:highlight w:val="none"/>
                <w:lang w:val="en-US" w:eastAsia="zh-CN"/>
              </w:rPr>
              <w:t>2、未提供或提供不全：0分。</w:t>
            </w:r>
          </w:p>
        </w:tc>
      </w:tr>
      <w:tr w14:paraId="043E65D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1244" w:type="dxa"/>
            <w:tcBorders>
              <w:top w:val="double" w:color="000000" w:sz="6" w:space="0"/>
              <w:left w:val="double" w:color="000000" w:sz="6" w:space="0"/>
              <w:bottom w:val="double" w:color="000000" w:sz="6" w:space="0"/>
              <w:right w:val="double" w:color="000000" w:sz="6" w:space="0"/>
            </w:tcBorders>
            <w:noWrap w:val="0"/>
            <w:vAlign w:val="center"/>
          </w:tcPr>
          <w:p w14:paraId="297FD28E">
            <w:pPr>
              <w:spacing w:line="360" w:lineRule="auto"/>
              <w:jc w:val="center"/>
              <w:rPr>
                <w:rFonts w:ascii="宋体" w:hAnsi="宋体" w:cs="宋体"/>
                <w:b/>
                <w:color w:val="000000"/>
                <w:szCs w:val="21"/>
                <w:highlight w:val="none"/>
              </w:rPr>
            </w:pPr>
            <w:r>
              <w:rPr>
                <w:rFonts w:hint="eastAsia" w:ascii="宋体" w:hAnsi="宋体" w:cs="宋体"/>
                <w:b/>
                <w:color w:val="000000"/>
                <w:szCs w:val="21"/>
                <w:highlight w:val="none"/>
              </w:rPr>
              <w:t>得分</w:t>
            </w:r>
          </w:p>
        </w:tc>
        <w:tc>
          <w:tcPr>
            <w:tcW w:w="8278" w:type="dxa"/>
            <w:tcBorders>
              <w:top w:val="double" w:color="000000" w:sz="6" w:space="0"/>
              <w:left w:val="double" w:color="000000" w:sz="6" w:space="0"/>
              <w:bottom w:val="double" w:color="000000" w:sz="6" w:space="0"/>
              <w:right w:val="double" w:color="000000" w:sz="6" w:space="0"/>
            </w:tcBorders>
            <w:noWrap w:val="0"/>
            <w:vAlign w:val="bottom"/>
          </w:tcPr>
          <w:p w14:paraId="2F305146">
            <w:pPr>
              <w:spacing w:line="360" w:lineRule="auto"/>
              <w:jc w:val="center"/>
              <w:rPr>
                <w:rFonts w:hint="default" w:ascii="宋体" w:hAnsi="宋体" w:eastAsia="宋体" w:cs="宋体"/>
                <w:bCs/>
                <w:color w:val="000000"/>
                <w:szCs w:val="21"/>
                <w:highlight w:val="none"/>
                <w:lang w:val="en-US" w:eastAsia="zh-CN"/>
              </w:rPr>
            </w:pPr>
            <w:r>
              <w:rPr>
                <w:rFonts w:hint="eastAsia" w:ascii="宋体" w:hAnsi="宋体" w:cs="宋体"/>
                <w:bCs/>
                <w:color w:val="000000"/>
                <w:szCs w:val="21"/>
                <w:highlight w:val="none"/>
              </w:rPr>
              <w:t>0-</w:t>
            </w:r>
            <w:r>
              <w:rPr>
                <w:rFonts w:hint="eastAsia" w:ascii="宋体" w:hAnsi="宋体" w:cs="宋体"/>
                <w:bCs/>
                <w:color w:val="000000"/>
                <w:szCs w:val="21"/>
                <w:highlight w:val="none"/>
                <w:lang w:val="en-US" w:eastAsia="zh-CN"/>
              </w:rPr>
              <w:t>10</w:t>
            </w:r>
          </w:p>
        </w:tc>
      </w:tr>
    </w:tbl>
    <w:p w14:paraId="5006CEC3">
      <w:pPr>
        <w:pStyle w:val="4"/>
        <w:ind w:firstLine="0" w:firstLineChars="0"/>
        <w:rPr>
          <w:rFonts w:ascii="Tahoma" w:hAnsi="Tahoma"/>
          <w:color w:val="000000"/>
          <w:sz w:val="24"/>
          <w:highlight w:val="none"/>
        </w:rPr>
      </w:pPr>
    </w:p>
    <w:p w14:paraId="4DDFF279">
      <w:pPr>
        <w:spacing w:line="360" w:lineRule="auto"/>
        <w:rPr>
          <w:rFonts w:hint="eastAsia" w:ascii="宋体" w:hAnsi="宋体"/>
          <w:b/>
          <w:bCs/>
          <w:color w:val="000000"/>
          <w:highlight w:val="none"/>
        </w:rPr>
      </w:pPr>
    </w:p>
    <w:p w14:paraId="3D546307">
      <w:pPr>
        <w:spacing w:line="360" w:lineRule="auto"/>
        <w:rPr>
          <w:rFonts w:hint="eastAsia" w:ascii="宋体" w:hAnsi="宋体"/>
          <w:b/>
          <w:bCs/>
          <w:color w:val="000000"/>
          <w:highlight w:val="none"/>
        </w:rPr>
      </w:pPr>
    </w:p>
    <w:p w14:paraId="537D43BC">
      <w:pPr>
        <w:spacing w:line="360" w:lineRule="auto"/>
        <w:rPr>
          <w:rFonts w:ascii="宋体" w:hAnsi="宋体"/>
          <w:b/>
          <w:bCs/>
          <w:color w:val="000000"/>
          <w:szCs w:val="21"/>
          <w:highlight w:val="none"/>
        </w:rPr>
      </w:pPr>
      <w:r>
        <w:rPr>
          <w:rFonts w:hint="eastAsia" w:ascii="宋体" w:hAnsi="宋体"/>
          <w:b/>
          <w:bCs/>
          <w:color w:val="000000"/>
          <w:highlight w:val="none"/>
        </w:rPr>
        <w:t>3.3</w:t>
      </w:r>
      <w:r>
        <w:rPr>
          <w:rFonts w:hint="eastAsia" w:ascii="宋体" w:hAnsi="宋体"/>
          <w:b/>
          <w:color w:val="000000"/>
          <w:szCs w:val="21"/>
          <w:highlight w:val="none"/>
          <w:lang w:val="en-US" w:eastAsia="zh-CN"/>
        </w:rPr>
        <w:t>维修响应时间评价</w:t>
      </w:r>
      <w:r>
        <w:rPr>
          <w:rFonts w:hint="eastAsia" w:ascii="宋体" w:hAnsi="宋体"/>
          <w:b/>
          <w:bCs/>
          <w:color w:val="000000"/>
          <w:highlight w:val="none"/>
        </w:rPr>
        <w:t>(满分</w:t>
      </w:r>
      <w:r>
        <w:rPr>
          <w:rFonts w:hint="eastAsia" w:ascii="宋体" w:hAnsi="宋体"/>
          <w:b/>
          <w:bCs/>
          <w:color w:val="000000"/>
          <w:highlight w:val="none"/>
          <w:lang w:val="en-US" w:eastAsia="zh-CN"/>
        </w:rPr>
        <w:t>4</w:t>
      </w:r>
      <w:r>
        <w:rPr>
          <w:rFonts w:hint="eastAsia" w:ascii="宋体" w:hAnsi="宋体"/>
          <w:b/>
          <w:bCs/>
          <w:color w:val="000000"/>
          <w:highlight w:val="none"/>
        </w:rPr>
        <w:t xml:space="preserve">分) </w:t>
      </w:r>
    </w:p>
    <w:tbl>
      <w:tblPr>
        <w:tblStyle w:val="6"/>
        <w:tblW w:w="9522" w:type="dxa"/>
        <w:tblInd w:w="-113"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44"/>
        <w:gridCol w:w="8278"/>
      </w:tblGrid>
      <w:tr w14:paraId="67D817A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948" w:hRule="atLeast"/>
        </w:trPr>
        <w:tc>
          <w:tcPr>
            <w:tcW w:w="1244" w:type="dxa"/>
            <w:tcBorders>
              <w:top w:val="double" w:color="000000" w:sz="6" w:space="0"/>
              <w:left w:val="double" w:color="000000" w:sz="6" w:space="0"/>
              <w:bottom w:val="double" w:color="000000" w:sz="6" w:space="0"/>
              <w:right w:val="double" w:color="000000" w:sz="6" w:space="0"/>
            </w:tcBorders>
            <w:noWrap w:val="0"/>
            <w:vAlign w:val="center"/>
          </w:tcPr>
          <w:p w14:paraId="39CA9144">
            <w:pPr>
              <w:spacing w:line="360" w:lineRule="auto"/>
              <w:jc w:val="center"/>
              <w:rPr>
                <w:rFonts w:ascii="宋体" w:hAnsi="宋体" w:cs="宋体"/>
                <w:b/>
                <w:caps/>
                <w:color w:val="000000"/>
                <w:szCs w:val="21"/>
                <w:highlight w:val="none"/>
              </w:rPr>
            </w:pPr>
            <w:r>
              <w:rPr>
                <w:rFonts w:hint="eastAsia" w:ascii="宋体" w:hAnsi="宋体" w:cs="宋体"/>
                <w:b/>
                <w:caps/>
                <w:color w:val="000000"/>
                <w:szCs w:val="21"/>
                <w:highlight w:val="none"/>
              </w:rPr>
              <w:t>标准</w:t>
            </w:r>
          </w:p>
        </w:tc>
        <w:tc>
          <w:tcPr>
            <w:tcW w:w="8278" w:type="dxa"/>
            <w:tcBorders>
              <w:top w:val="double" w:color="000000" w:sz="6" w:space="0"/>
              <w:left w:val="double" w:color="000000" w:sz="6" w:space="0"/>
              <w:bottom w:val="double" w:color="000000" w:sz="6" w:space="0"/>
              <w:right w:val="double" w:color="000000" w:sz="6" w:space="0"/>
            </w:tcBorders>
            <w:noWrap w:val="0"/>
            <w:vAlign w:val="center"/>
          </w:tcPr>
          <w:p w14:paraId="01C62187">
            <w:pPr>
              <w:spacing w:line="360" w:lineRule="auto"/>
              <w:rPr>
                <w:rFonts w:hint="eastAsia" w:ascii="宋体" w:hAnsi="宋体" w:eastAsia="宋体" w:cs="宋体"/>
                <w:b w:val="0"/>
                <w:bCs w:val="0"/>
                <w:sz w:val="21"/>
                <w:szCs w:val="20"/>
                <w:highlight w:val="none"/>
              </w:rPr>
            </w:pPr>
            <w:r>
              <w:rPr>
                <w:rFonts w:hint="eastAsia" w:ascii="宋体" w:hAnsi="宋体" w:eastAsia="宋体" w:cs="宋体"/>
                <w:b/>
                <w:bCs/>
                <w:sz w:val="21"/>
                <w:szCs w:val="20"/>
                <w:highlight w:val="none"/>
              </w:rPr>
              <w:t>评标委员会根据投标人对维修人员接到维修通知后承诺到达用户现场的时间由短至长的排名进行评价</w:t>
            </w:r>
            <w:r>
              <w:rPr>
                <w:rFonts w:hint="eastAsia" w:ascii="宋体" w:hAnsi="宋体" w:eastAsia="宋体" w:cs="宋体"/>
                <w:b w:val="0"/>
                <w:bCs w:val="0"/>
                <w:sz w:val="21"/>
                <w:szCs w:val="20"/>
                <w:highlight w:val="none"/>
              </w:rPr>
              <w:t>（投标人须结合售后机构距离项目现场的距离承诺到达现场进行维修服务的时间，承诺到达的时间不能超过24小时，须在投标文件中附承诺）。</w:t>
            </w:r>
          </w:p>
          <w:p w14:paraId="4C188DEC">
            <w:pPr>
              <w:spacing w:line="360" w:lineRule="auto"/>
              <w:rPr>
                <w:rFonts w:hint="eastAsia" w:ascii="宋体" w:hAnsi="宋体" w:eastAsia="宋体" w:cs="宋体"/>
                <w:b w:val="0"/>
                <w:bCs w:val="0"/>
                <w:sz w:val="21"/>
                <w:szCs w:val="20"/>
                <w:highlight w:val="none"/>
                <w:lang w:val="en-US" w:eastAsia="zh-CN"/>
              </w:rPr>
            </w:pPr>
            <w:r>
              <w:rPr>
                <w:rFonts w:hint="eastAsia" w:ascii="宋体" w:hAnsi="宋体" w:eastAsia="宋体" w:cs="宋体"/>
                <w:b w:val="0"/>
                <w:bCs w:val="0"/>
                <w:sz w:val="21"/>
                <w:szCs w:val="20"/>
                <w:highlight w:val="none"/>
                <w:lang w:val="en-US" w:eastAsia="zh-CN"/>
              </w:rPr>
              <w:t>1、</w:t>
            </w:r>
            <w:r>
              <w:rPr>
                <w:rFonts w:hint="eastAsia" w:ascii="宋体" w:hAnsi="宋体" w:eastAsia="宋体" w:cs="宋体"/>
                <w:b w:val="0"/>
                <w:bCs w:val="0"/>
                <w:sz w:val="21"/>
                <w:szCs w:val="20"/>
                <w:highlight w:val="none"/>
              </w:rPr>
              <w:t>第一名</w:t>
            </w:r>
            <w:r>
              <w:rPr>
                <w:rFonts w:hint="eastAsia" w:ascii="宋体" w:hAnsi="宋体" w:eastAsia="宋体" w:cs="宋体"/>
                <w:b w:val="0"/>
                <w:bCs w:val="0"/>
                <w:sz w:val="21"/>
                <w:szCs w:val="20"/>
                <w:highlight w:val="none"/>
                <w:lang w:eastAsia="zh-CN"/>
              </w:rPr>
              <w:t>，</w:t>
            </w:r>
            <w:r>
              <w:rPr>
                <w:rFonts w:hint="eastAsia" w:ascii="宋体" w:hAnsi="宋体" w:eastAsia="宋体" w:cs="宋体"/>
                <w:b w:val="0"/>
                <w:bCs w:val="0"/>
                <w:sz w:val="21"/>
                <w:szCs w:val="20"/>
                <w:highlight w:val="none"/>
                <w:lang w:val="en-US" w:eastAsia="zh-CN"/>
              </w:rPr>
              <w:t>6分；</w:t>
            </w:r>
          </w:p>
          <w:p w14:paraId="2919B5BF">
            <w:pPr>
              <w:spacing w:line="360" w:lineRule="auto"/>
              <w:rPr>
                <w:rFonts w:hint="eastAsia" w:ascii="宋体" w:hAnsi="宋体" w:eastAsia="宋体" w:cs="宋体"/>
                <w:b w:val="0"/>
                <w:bCs w:val="0"/>
                <w:sz w:val="21"/>
                <w:szCs w:val="20"/>
                <w:highlight w:val="none"/>
                <w:lang w:val="en-US" w:eastAsia="zh-CN"/>
              </w:rPr>
            </w:pPr>
            <w:r>
              <w:rPr>
                <w:rFonts w:hint="eastAsia" w:ascii="宋体" w:hAnsi="宋体" w:eastAsia="宋体" w:cs="宋体"/>
                <w:b w:val="0"/>
                <w:bCs w:val="0"/>
                <w:sz w:val="21"/>
                <w:szCs w:val="20"/>
                <w:highlight w:val="none"/>
                <w:lang w:val="en-US" w:eastAsia="zh-CN"/>
              </w:rPr>
              <w:t>2、</w:t>
            </w:r>
            <w:r>
              <w:rPr>
                <w:rFonts w:hint="eastAsia" w:ascii="宋体" w:hAnsi="宋体" w:eastAsia="宋体" w:cs="宋体"/>
                <w:b w:val="0"/>
                <w:bCs w:val="0"/>
                <w:sz w:val="21"/>
                <w:szCs w:val="20"/>
                <w:highlight w:val="none"/>
              </w:rPr>
              <w:t>第二名</w:t>
            </w:r>
            <w:r>
              <w:rPr>
                <w:rFonts w:hint="eastAsia" w:ascii="宋体" w:hAnsi="宋体" w:eastAsia="宋体" w:cs="宋体"/>
                <w:b w:val="0"/>
                <w:bCs w:val="0"/>
                <w:sz w:val="21"/>
                <w:szCs w:val="20"/>
                <w:highlight w:val="none"/>
                <w:lang w:eastAsia="zh-CN"/>
              </w:rPr>
              <w:t>，</w:t>
            </w:r>
            <w:r>
              <w:rPr>
                <w:rFonts w:hint="eastAsia" w:ascii="宋体" w:hAnsi="宋体" w:eastAsia="宋体" w:cs="宋体"/>
                <w:b w:val="0"/>
                <w:bCs w:val="0"/>
                <w:sz w:val="21"/>
                <w:szCs w:val="20"/>
                <w:highlight w:val="none"/>
                <w:lang w:val="en-US" w:eastAsia="zh-CN"/>
              </w:rPr>
              <w:t>4分；</w:t>
            </w:r>
          </w:p>
          <w:p w14:paraId="0FA6457A">
            <w:pPr>
              <w:spacing w:line="360" w:lineRule="auto"/>
              <w:rPr>
                <w:rFonts w:hint="eastAsia" w:ascii="宋体" w:hAnsi="宋体" w:eastAsia="宋体" w:cs="宋体"/>
                <w:b w:val="0"/>
                <w:bCs w:val="0"/>
                <w:sz w:val="21"/>
                <w:szCs w:val="20"/>
                <w:highlight w:val="none"/>
                <w:lang w:val="en-US" w:eastAsia="zh-CN"/>
              </w:rPr>
            </w:pPr>
            <w:r>
              <w:rPr>
                <w:rFonts w:hint="eastAsia" w:ascii="宋体" w:hAnsi="宋体" w:eastAsia="宋体" w:cs="宋体"/>
                <w:b w:val="0"/>
                <w:bCs w:val="0"/>
                <w:sz w:val="21"/>
                <w:szCs w:val="20"/>
                <w:highlight w:val="none"/>
                <w:lang w:val="en-US" w:eastAsia="zh-CN"/>
              </w:rPr>
              <w:t>3、</w:t>
            </w:r>
            <w:r>
              <w:rPr>
                <w:rFonts w:hint="eastAsia" w:ascii="宋体" w:hAnsi="宋体" w:eastAsia="宋体" w:cs="宋体"/>
                <w:b w:val="0"/>
                <w:bCs w:val="0"/>
                <w:sz w:val="21"/>
                <w:szCs w:val="20"/>
                <w:highlight w:val="none"/>
              </w:rPr>
              <w:t>第三名</w:t>
            </w:r>
            <w:r>
              <w:rPr>
                <w:rFonts w:hint="eastAsia" w:ascii="宋体" w:hAnsi="宋体" w:eastAsia="宋体" w:cs="宋体"/>
                <w:b w:val="0"/>
                <w:bCs w:val="0"/>
                <w:sz w:val="21"/>
                <w:szCs w:val="20"/>
                <w:highlight w:val="none"/>
                <w:lang w:eastAsia="zh-CN"/>
              </w:rPr>
              <w:t>，</w:t>
            </w:r>
            <w:r>
              <w:rPr>
                <w:rFonts w:hint="eastAsia" w:ascii="宋体" w:hAnsi="宋体" w:eastAsia="宋体" w:cs="宋体"/>
                <w:b w:val="0"/>
                <w:bCs w:val="0"/>
                <w:sz w:val="21"/>
                <w:szCs w:val="20"/>
                <w:highlight w:val="none"/>
                <w:lang w:val="en-US" w:eastAsia="zh-CN"/>
              </w:rPr>
              <w:t>1分；</w:t>
            </w:r>
          </w:p>
          <w:p w14:paraId="54050F00">
            <w:pPr>
              <w:rPr>
                <w:rFonts w:hint="default"/>
                <w:highlight w:val="none"/>
                <w:lang w:val="en-US" w:eastAsia="zh-CN"/>
              </w:rPr>
            </w:pPr>
            <w:r>
              <w:rPr>
                <w:rFonts w:hint="eastAsia" w:ascii="宋体" w:hAnsi="宋体" w:eastAsia="宋体" w:cs="宋体"/>
                <w:b w:val="0"/>
                <w:bCs w:val="0"/>
                <w:sz w:val="21"/>
                <w:szCs w:val="20"/>
                <w:highlight w:val="none"/>
                <w:lang w:val="en-US" w:eastAsia="zh-CN"/>
              </w:rPr>
              <w:t>4、</w:t>
            </w:r>
            <w:r>
              <w:rPr>
                <w:rFonts w:hint="eastAsia" w:ascii="宋体" w:hAnsi="宋体" w:eastAsia="宋体" w:cs="宋体"/>
                <w:b w:val="0"/>
                <w:bCs w:val="0"/>
                <w:sz w:val="21"/>
                <w:szCs w:val="20"/>
                <w:highlight w:val="none"/>
              </w:rPr>
              <w:t>第四名或更低</w:t>
            </w:r>
            <w:r>
              <w:rPr>
                <w:rFonts w:hint="eastAsia" w:ascii="宋体" w:hAnsi="宋体" w:eastAsia="宋体" w:cs="宋体"/>
                <w:b w:val="0"/>
                <w:bCs w:val="0"/>
                <w:sz w:val="21"/>
                <w:szCs w:val="20"/>
                <w:highlight w:val="none"/>
                <w:lang w:eastAsia="zh-CN"/>
              </w:rPr>
              <w:t>，</w:t>
            </w:r>
            <w:r>
              <w:rPr>
                <w:rFonts w:hint="eastAsia" w:ascii="宋体" w:hAnsi="宋体" w:eastAsia="宋体" w:cs="宋体"/>
                <w:b w:val="0"/>
                <w:bCs w:val="0"/>
                <w:sz w:val="21"/>
                <w:szCs w:val="20"/>
                <w:highlight w:val="none"/>
                <w:lang w:val="en-US" w:eastAsia="zh-CN"/>
              </w:rPr>
              <w:t>0分。</w:t>
            </w:r>
          </w:p>
        </w:tc>
      </w:tr>
      <w:tr w14:paraId="2830C31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1244" w:type="dxa"/>
            <w:tcBorders>
              <w:top w:val="double" w:color="000000" w:sz="6" w:space="0"/>
              <w:left w:val="double" w:color="000000" w:sz="6" w:space="0"/>
              <w:bottom w:val="double" w:color="000000" w:sz="6" w:space="0"/>
              <w:right w:val="double" w:color="000000" w:sz="6" w:space="0"/>
            </w:tcBorders>
            <w:noWrap w:val="0"/>
            <w:vAlign w:val="center"/>
          </w:tcPr>
          <w:p w14:paraId="42027A6C">
            <w:pPr>
              <w:spacing w:line="360" w:lineRule="auto"/>
              <w:jc w:val="center"/>
              <w:rPr>
                <w:rFonts w:ascii="宋体" w:hAnsi="宋体" w:cs="宋体"/>
                <w:b/>
                <w:color w:val="000000"/>
                <w:szCs w:val="21"/>
                <w:highlight w:val="none"/>
              </w:rPr>
            </w:pPr>
            <w:r>
              <w:rPr>
                <w:rFonts w:hint="eastAsia" w:ascii="宋体" w:hAnsi="宋体" w:cs="宋体"/>
                <w:b/>
                <w:color w:val="000000"/>
                <w:szCs w:val="21"/>
                <w:highlight w:val="none"/>
              </w:rPr>
              <w:t>得分</w:t>
            </w:r>
          </w:p>
        </w:tc>
        <w:tc>
          <w:tcPr>
            <w:tcW w:w="8278" w:type="dxa"/>
            <w:tcBorders>
              <w:top w:val="double" w:color="000000" w:sz="6" w:space="0"/>
              <w:left w:val="double" w:color="000000" w:sz="6" w:space="0"/>
              <w:bottom w:val="double" w:color="000000" w:sz="6" w:space="0"/>
              <w:right w:val="double" w:color="000000" w:sz="6" w:space="0"/>
            </w:tcBorders>
            <w:noWrap w:val="0"/>
            <w:vAlign w:val="bottom"/>
          </w:tcPr>
          <w:p w14:paraId="556462B3">
            <w:pPr>
              <w:spacing w:line="360" w:lineRule="auto"/>
              <w:jc w:val="center"/>
              <w:rPr>
                <w:rFonts w:hint="eastAsia" w:ascii="宋体" w:hAnsi="宋体" w:eastAsia="宋体" w:cs="宋体"/>
                <w:bCs/>
                <w:color w:val="000000"/>
                <w:szCs w:val="21"/>
                <w:highlight w:val="none"/>
                <w:lang w:eastAsia="zh-CN"/>
              </w:rPr>
            </w:pPr>
            <w:r>
              <w:rPr>
                <w:rFonts w:hint="eastAsia" w:ascii="宋体" w:hAnsi="宋体" w:cs="宋体"/>
                <w:bCs/>
                <w:color w:val="000000"/>
                <w:szCs w:val="21"/>
                <w:highlight w:val="none"/>
              </w:rPr>
              <w:t>0-</w:t>
            </w:r>
            <w:r>
              <w:rPr>
                <w:rFonts w:hint="eastAsia" w:ascii="宋体" w:hAnsi="宋体" w:cs="宋体"/>
                <w:bCs/>
                <w:color w:val="000000"/>
                <w:szCs w:val="21"/>
                <w:highlight w:val="none"/>
                <w:lang w:val="en-US" w:eastAsia="zh-CN"/>
              </w:rPr>
              <w:t>6</w:t>
            </w:r>
          </w:p>
        </w:tc>
      </w:tr>
    </w:tbl>
    <w:p w14:paraId="197156D5">
      <w:pPr>
        <w:spacing w:line="360" w:lineRule="auto"/>
        <w:rPr>
          <w:rFonts w:hint="eastAsia" w:ascii="宋体" w:hAnsi="宋体"/>
          <w:b/>
          <w:bCs/>
          <w:color w:val="000000"/>
          <w:highlight w:val="none"/>
        </w:rPr>
      </w:pPr>
    </w:p>
    <w:p w14:paraId="359BE444">
      <w:pPr>
        <w:spacing w:line="360" w:lineRule="auto"/>
        <w:rPr>
          <w:rFonts w:ascii="宋体" w:hAnsi="宋体"/>
          <w:b/>
          <w:bCs/>
          <w:color w:val="000000"/>
          <w:szCs w:val="21"/>
          <w:highlight w:val="none"/>
        </w:rPr>
      </w:pPr>
      <w:r>
        <w:rPr>
          <w:rFonts w:hint="eastAsia" w:ascii="宋体" w:hAnsi="宋体"/>
          <w:b/>
          <w:bCs/>
          <w:color w:val="000000"/>
          <w:highlight w:val="none"/>
        </w:rPr>
        <w:t>3.</w:t>
      </w:r>
      <w:r>
        <w:rPr>
          <w:rFonts w:hint="eastAsia" w:ascii="宋体" w:hAnsi="宋体"/>
          <w:b/>
          <w:bCs/>
          <w:color w:val="000000"/>
          <w:highlight w:val="none"/>
          <w:lang w:val="en-US" w:eastAsia="zh-CN"/>
        </w:rPr>
        <w:t>4</w:t>
      </w:r>
      <w:r>
        <w:rPr>
          <w:rFonts w:hint="eastAsia" w:ascii="宋体" w:hAnsi="宋体"/>
          <w:b/>
          <w:color w:val="000000"/>
          <w:szCs w:val="21"/>
          <w:highlight w:val="none"/>
          <w:lang w:val="en-US" w:eastAsia="zh-CN"/>
        </w:rPr>
        <w:t>质保期承诺</w:t>
      </w:r>
      <w:r>
        <w:rPr>
          <w:rFonts w:hint="eastAsia" w:ascii="宋体" w:hAnsi="宋体"/>
          <w:b/>
          <w:color w:val="000000"/>
          <w:szCs w:val="21"/>
          <w:highlight w:val="none"/>
        </w:rPr>
        <w:t>评价分</w:t>
      </w:r>
      <w:r>
        <w:rPr>
          <w:rFonts w:hint="eastAsia" w:ascii="宋体" w:hAnsi="宋体"/>
          <w:b/>
          <w:bCs/>
          <w:color w:val="000000"/>
          <w:highlight w:val="none"/>
        </w:rPr>
        <w:t>(满分</w:t>
      </w:r>
      <w:r>
        <w:rPr>
          <w:rFonts w:hint="eastAsia" w:ascii="宋体" w:hAnsi="宋体"/>
          <w:b/>
          <w:bCs/>
          <w:color w:val="000000"/>
          <w:highlight w:val="none"/>
          <w:lang w:val="en-US" w:eastAsia="zh-CN"/>
        </w:rPr>
        <w:t>6</w:t>
      </w:r>
      <w:r>
        <w:rPr>
          <w:rFonts w:hint="eastAsia" w:ascii="宋体" w:hAnsi="宋体"/>
          <w:b/>
          <w:bCs/>
          <w:color w:val="000000"/>
          <w:highlight w:val="none"/>
        </w:rPr>
        <w:t xml:space="preserve">分) </w:t>
      </w:r>
    </w:p>
    <w:tbl>
      <w:tblPr>
        <w:tblStyle w:val="6"/>
        <w:tblW w:w="9709" w:type="dxa"/>
        <w:tblInd w:w="-231"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62"/>
        <w:gridCol w:w="8347"/>
      </w:tblGrid>
      <w:tr w14:paraId="5DFA27C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515" w:hRule="atLeast"/>
        </w:trPr>
        <w:tc>
          <w:tcPr>
            <w:tcW w:w="1362" w:type="dxa"/>
            <w:tcBorders>
              <w:top w:val="double" w:color="000000" w:sz="6" w:space="0"/>
              <w:left w:val="double" w:color="000000" w:sz="6" w:space="0"/>
              <w:bottom w:val="double" w:color="000000" w:sz="6" w:space="0"/>
              <w:right w:val="double" w:color="000000" w:sz="6" w:space="0"/>
            </w:tcBorders>
            <w:noWrap w:val="0"/>
            <w:vAlign w:val="center"/>
          </w:tcPr>
          <w:p w14:paraId="00F6DDA0">
            <w:pPr>
              <w:spacing w:line="360" w:lineRule="auto"/>
              <w:jc w:val="center"/>
              <w:rPr>
                <w:rFonts w:ascii="宋体" w:hAnsi="宋体" w:cs="宋体"/>
                <w:b/>
                <w:caps/>
                <w:color w:val="000000"/>
                <w:szCs w:val="21"/>
                <w:highlight w:val="none"/>
              </w:rPr>
            </w:pPr>
            <w:r>
              <w:rPr>
                <w:rFonts w:hint="eastAsia" w:ascii="宋体" w:hAnsi="宋体" w:cs="宋体"/>
                <w:b/>
                <w:caps/>
                <w:color w:val="000000"/>
                <w:szCs w:val="21"/>
                <w:highlight w:val="none"/>
              </w:rPr>
              <w:t>标准</w:t>
            </w:r>
          </w:p>
        </w:tc>
        <w:tc>
          <w:tcPr>
            <w:tcW w:w="8347" w:type="dxa"/>
            <w:tcBorders>
              <w:top w:val="double" w:color="000000" w:sz="6" w:space="0"/>
              <w:left w:val="double" w:color="000000" w:sz="6" w:space="0"/>
              <w:bottom w:val="double" w:color="000000" w:sz="6" w:space="0"/>
              <w:right w:val="double" w:color="000000" w:sz="6" w:space="0"/>
            </w:tcBorders>
            <w:noWrap w:val="0"/>
            <w:vAlign w:val="center"/>
          </w:tcPr>
          <w:p w14:paraId="30289821">
            <w:pPr>
              <w:pStyle w:val="5"/>
              <w:numPr>
                <w:ilvl w:val="0"/>
                <w:numId w:val="1"/>
              </w:numPr>
              <w:rPr>
                <w:rFonts w:hint="default" w:eastAsia="宋体"/>
                <w:highlight w:val="none"/>
                <w:lang w:val="en-US" w:eastAsia="zh-CN"/>
              </w:rPr>
            </w:pPr>
            <w:r>
              <w:rPr>
                <w:rFonts w:hint="eastAsia" w:ascii="宋体" w:hAnsi="宋体"/>
                <w:b w:val="0"/>
                <w:bCs w:val="0"/>
                <w:color w:val="000000"/>
                <w:szCs w:val="21"/>
                <w:highlight w:val="none"/>
              </w:rPr>
              <w:t>根据投标供</w:t>
            </w:r>
            <w:r>
              <w:rPr>
                <w:rFonts w:hint="eastAsia" w:ascii="宋体" w:hAnsi="宋体" w:eastAsia="宋体" w:cs="Times New Roman"/>
                <w:b w:val="0"/>
                <w:bCs w:val="0"/>
                <w:color w:val="000000"/>
                <w:szCs w:val="21"/>
                <w:highlight w:val="none"/>
              </w:rPr>
              <w:t>应商</w:t>
            </w:r>
            <w:r>
              <w:rPr>
                <w:rFonts w:hint="eastAsia" w:ascii="宋体" w:hAnsi="宋体" w:eastAsia="宋体" w:cs="Times New Roman"/>
                <w:b w:val="0"/>
                <w:bCs w:val="0"/>
                <w:color w:val="000000"/>
                <w:szCs w:val="21"/>
                <w:highlight w:val="none"/>
                <w:lang w:val="en-US" w:eastAsia="zh-CN"/>
              </w:rPr>
              <w:t>自行承诺的</w:t>
            </w:r>
            <w:r>
              <w:rPr>
                <w:rFonts w:hint="eastAsia" w:ascii="宋体" w:hAnsi="宋体" w:eastAsia="宋体" w:cs="Times New Roman"/>
                <w:b w:val="0"/>
                <w:bCs w:val="0"/>
                <w:color w:val="000000"/>
                <w:szCs w:val="21"/>
                <w:highlight w:val="none"/>
              </w:rPr>
              <w:t>整机免费质保3年</w:t>
            </w:r>
            <w:r>
              <w:rPr>
                <w:rFonts w:hint="eastAsia" w:ascii="宋体" w:hAnsi="宋体" w:eastAsia="宋体" w:cs="Times New Roman"/>
                <w:b w:val="0"/>
                <w:bCs w:val="0"/>
                <w:color w:val="000000"/>
                <w:szCs w:val="21"/>
                <w:highlight w:val="none"/>
                <w:lang w:eastAsia="zh-CN"/>
              </w:rPr>
              <w:t>的</w:t>
            </w:r>
            <w:r>
              <w:rPr>
                <w:rFonts w:hint="eastAsia" w:ascii="宋体" w:hAnsi="宋体" w:eastAsia="宋体" w:cs="Times New Roman"/>
                <w:b w:val="0"/>
                <w:bCs w:val="0"/>
                <w:color w:val="000000"/>
                <w:szCs w:val="21"/>
                <w:highlight w:val="none"/>
                <w:lang w:val="en-US" w:eastAsia="zh-CN"/>
              </w:rPr>
              <w:t>基础上，每增加一年质保得2分，满分4分。（承诺必须为原厂厂家承诺并加盖厂家公章）</w:t>
            </w:r>
            <w:r>
              <w:rPr>
                <w:rFonts w:hint="eastAsia" w:ascii="宋体" w:hAnsi="宋体" w:eastAsia="宋体" w:cs="Times New Roman"/>
                <w:b w:val="0"/>
                <w:bCs w:val="0"/>
                <w:color w:val="000000"/>
                <w:szCs w:val="21"/>
                <w:highlight w:val="none"/>
                <w:lang w:val="en-US" w:eastAsia="zh-CN"/>
              </w:rPr>
              <w:br w:type="textWrapping"/>
            </w:r>
            <w:r>
              <w:rPr>
                <w:rFonts w:hint="eastAsia" w:ascii="宋体" w:hAnsi="宋体" w:eastAsia="宋体" w:cs="Times New Roman"/>
                <w:b w:val="0"/>
                <w:bCs w:val="0"/>
                <w:color w:val="000000"/>
                <w:szCs w:val="21"/>
                <w:highlight w:val="none"/>
                <w:lang w:val="en-US" w:eastAsia="zh-CN"/>
              </w:rPr>
              <w:t>（2）</w:t>
            </w:r>
            <w:r>
              <w:rPr>
                <w:rFonts w:hint="eastAsia" w:ascii="宋体" w:hAnsi="宋体" w:eastAsia="宋体" w:cs="Times New Roman"/>
                <w:b w:val="0"/>
                <w:bCs w:val="0"/>
                <w:color w:val="000000"/>
                <w:szCs w:val="21"/>
                <w:highlight w:val="none"/>
              </w:rPr>
              <w:t>根据投标供应商</w:t>
            </w:r>
            <w:r>
              <w:rPr>
                <w:rFonts w:hint="eastAsia" w:ascii="宋体" w:hAnsi="宋体" w:eastAsia="宋体" w:cs="Times New Roman"/>
                <w:b w:val="0"/>
                <w:bCs w:val="0"/>
                <w:color w:val="000000"/>
                <w:szCs w:val="21"/>
                <w:highlight w:val="none"/>
                <w:lang w:val="en-US" w:eastAsia="zh-CN"/>
              </w:rPr>
              <w:t>自行承诺的</w:t>
            </w:r>
            <w:r>
              <w:rPr>
                <w:rFonts w:hint="eastAsia" w:ascii="宋体" w:hAnsi="宋体" w:eastAsia="宋体" w:cs="Times New Roman"/>
                <w:b w:val="0"/>
                <w:bCs w:val="0"/>
                <w:color w:val="000000"/>
                <w:szCs w:val="21"/>
                <w:highlight w:val="none"/>
              </w:rPr>
              <w:t>人员培训提供2人</w:t>
            </w:r>
            <w:r>
              <w:rPr>
                <w:rFonts w:hint="eastAsia" w:ascii="宋体" w:hAnsi="宋体" w:eastAsia="宋体" w:cs="Times New Roman"/>
                <w:b w:val="0"/>
                <w:bCs w:val="0"/>
                <w:color w:val="000000"/>
                <w:szCs w:val="21"/>
                <w:highlight w:val="none"/>
                <w:lang w:eastAsia="zh-CN"/>
              </w:rPr>
              <w:t>的</w:t>
            </w:r>
            <w:r>
              <w:rPr>
                <w:rFonts w:hint="eastAsia" w:ascii="宋体" w:hAnsi="宋体" w:eastAsia="宋体" w:cs="Times New Roman"/>
                <w:b w:val="0"/>
                <w:bCs w:val="0"/>
                <w:color w:val="000000"/>
                <w:szCs w:val="21"/>
                <w:highlight w:val="none"/>
                <w:lang w:val="en-US" w:eastAsia="zh-CN"/>
              </w:rPr>
              <w:t>基础上，每增加1人得1分，</w:t>
            </w:r>
            <w:r>
              <w:rPr>
                <w:rFonts w:hint="eastAsia" w:ascii="宋体" w:hAnsi="宋体" w:eastAsia="宋体" w:cs="Times New Roman"/>
                <w:b w:val="0"/>
                <w:bCs w:val="0"/>
                <w:color w:val="000000"/>
                <w:szCs w:val="21"/>
                <w:highlight w:val="none"/>
              </w:rPr>
              <w:t>满分</w:t>
            </w:r>
            <w:r>
              <w:rPr>
                <w:rFonts w:hint="eastAsia" w:ascii="宋体" w:hAnsi="宋体" w:cs="Times New Roman"/>
                <w:b w:val="0"/>
                <w:bCs w:val="0"/>
                <w:color w:val="000000"/>
                <w:szCs w:val="21"/>
                <w:highlight w:val="none"/>
                <w:lang w:val="en-US" w:eastAsia="zh-CN"/>
              </w:rPr>
              <w:t>2</w:t>
            </w:r>
            <w:r>
              <w:rPr>
                <w:rFonts w:hint="eastAsia" w:ascii="宋体" w:hAnsi="宋体" w:eastAsia="宋体" w:cs="Times New Roman"/>
                <w:b w:val="0"/>
                <w:bCs w:val="0"/>
                <w:color w:val="000000"/>
                <w:szCs w:val="21"/>
                <w:highlight w:val="none"/>
              </w:rPr>
              <w:t>分。</w:t>
            </w:r>
          </w:p>
        </w:tc>
      </w:tr>
      <w:tr w14:paraId="7AA8369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1362" w:type="dxa"/>
            <w:tcBorders>
              <w:top w:val="double" w:color="000000" w:sz="6" w:space="0"/>
              <w:left w:val="double" w:color="000000" w:sz="6" w:space="0"/>
              <w:bottom w:val="double" w:color="000000" w:sz="6" w:space="0"/>
              <w:right w:val="double" w:color="000000" w:sz="6" w:space="0"/>
            </w:tcBorders>
            <w:noWrap w:val="0"/>
            <w:vAlign w:val="center"/>
          </w:tcPr>
          <w:p w14:paraId="72255773">
            <w:pPr>
              <w:spacing w:line="360" w:lineRule="auto"/>
              <w:jc w:val="center"/>
              <w:rPr>
                <w:rFonts w:ascii="宋体" w:hAnsi="宋体" w:cs="宋体"/>
                <w:b/>
                <w:color w:val="000000"/>
                <w:szCs w:val="21"/>
                <w:highlight w:val="none"/>
              </w:rPr>
            </w:pPr>
            <w:r>
              <w:rPr>
                <w:rFonts w:hint="eastAsia" w:ascii="宋体" w:hAnsi="宋体" w:cs="宋体"/>
                <w:b/>
                <w:color w:val="000000"/>
                <w:szCs w:val="21"/>
                <w:highlight w:val="none"/>
              </w:rPr>
              <w:t>得分</w:t>
            </w:r>
          </w:p>
        </w:tc>
        <w:tc>
          <w:tcPr>
            <w:tcW w:w="8347" w:type="dxa"/>
            <w:tcBorders>
              <w:top w:val="double" w:color="000000" w:sz="6" w:space="0"/>
              <w:left w:val="double" w:color="000000" w:sz="6" w:space="0"/>
              <w:bottom w:val="double" w:color="000000" w:sz="6" w:space="0"/>
              <w:right w:val="double" w:color="000000" w:sz="6" w:space="0"/>
            </w:tcBorders>
            <w:noWrap w:val="0"/>
            <w:vAlign w:val="bottom"/>
          </w:tcPr>
          <w:p w14:paraId="4D47B5A2">
            <w:pPr>
              <w:spacing w:line="360" w:lineRule="auto"/>
              <w:jc w:val="center"/>
              <w:rPr>
                <w:rFonts w:hint="eastAsia" w:ascii="宋体" w:hAnsi="宋体" w:eastAsia="宋体" w:cs="宋体"/>
                <w:bCs/>
                <w:color w:val="000000"/>
                <w:szCs w:val="21"/>
                <w:highlight w:val="none"/>
                <w:lang w:eastAsia="zh-CN"/>
              </w:rPr>
            </w:pPr>
            <w:r>
              <w:rPr>
                <w:rFonts w:hint="eastAsia" w:ascii="宋体" w:hAnsi="宋体" w:cs="宋体"/>
                <w:bCs/>
                <w:color w:val="000000"/>
                <w:szCs w:val="21"/>
                <w:highlight w:val="none"/>
              </w:rPr>
              <w:t>0-</w:t>
            </w:r>
            <w:r>
              <w:rPr>
                <w:rFonts w:hint="eastAsia" w:ascii="宋体" w:hAnsi="宋体" w:cs="宋体"/>
                <w:bCs/>
                <w:color w:val="000000"/>
                <w:szCs w:val="21"/>
                <w:highlight w:val="none"/>
                <w:lang w:val="en-US" w:eastAsia="zh-CN"/>
              </w:rPr>
              <w:t>6</w:t>
            </w:r>
          </w:p>
        </w:tc>
      </w:tr>
    </w:tbl>
    <w:p w14:paraId="3FE3A587">
      <w:pPr>
        <w:spacing w:line="360" w:lineRule="auto"/>
        <w:rPr>
          <w:rFonts w:hint="eastAsia" w:ascii="宋体" w:hAnsi="宋体"/>
          <w:b/>
          <w:bCs/>
          <w:color w:val="000000"/>
          <w:highlight w:val="none"/>
        </w:rPr>
      </w:pPr>
    </w:p>
    <w:p w14:paraId="24188528">
      <w:pPr>
        <w:pStyle w:val="2"/>
        <w:rPr>
          <w:rFonts w:hint="eastAsia" w:ascii="宋体" w:hAnsi="宋体"/>
          <w:b/>
          <w:bCs/>
          <w:color w:val="000000"/>
          <w:highlight w:val="none"/>
        </w:rPr>
      </w:pPr>
    </w:p>
    <w:p w14:paraId="1630734F">
      <w:pPr>
        <w:pStyle w:val="2"/>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D169E1"/>
    <w:multiLevelType w:val="singleLevel"/>
    <w:tmpl w:val="9AD169E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F1DF7"/>
    <w:rsid w:val="2EEF1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keepNext/>
      <w:spacing w:line="460" w:lineRule="exact"/>
      <w:outlineLvl w:val="3"/>
    </w:pPr>
    <w:rPr>
      <w:rFonts w:ascii="宋体" w:hAnsi="宋体" w:eastAsia="宋体" w:cs="Times New Roman"/>
      <w:sz w:val="24"/>
      <w:szCs w:val="2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List 2"/>
    <w:basedOn w:val="1"/>
    <w:uiPriority w:val="0"/>
    <w:pPr>
      <w:ind w:left="100" w:leftChars="200" w:hanging="200" w:hangingChars="200"/>
    </w:pPr>
    <w:rPr>
      <w:rFonts w:ascii="Calibri" w:hAnsi="Calibri" w:eastAsia="宋体" w:cs="Times New Roman"/>
      <w:szCs w:val="24"/>
    </w:rPr>
  </w:style>
  <w:style w:type="paragraph" w:styleId="4">
    <w:name w:val="Normal Indent"/>
    <w:basedOn w:val="1"/>
    <w:qFormat/>
    <w:uiPriority w:val="0"/>
    <w:pPr>
      <w:ind w:firstLine="420" w:firstLineChars="200"/>
    </w:pPr>
    <w:rPr>
      <w:rFonts w:ascii="Calibri" w:hAnsi="Calibri"/>
    </w:rPr>
  </w:style>
  <w:style w:type="paragraph" w:styleId="5">
    <w:name w:val="Body Text"/>
    <w:basedOn w:val="1"/>
    <w:next w:val="1"/>
    <w:qFormat/>
    <w:uiPriority w:val="99"/>
    <w:pPr>
      <w:spacing w:after="120" w:afterLines="0"/>
    </w:pPr>
    <w:rPr>
      <w:rFonts w:ascii="Tahoma" w:hAnsi="Tahoma"/>
    </w:rPr>
  </w:style>
  <w:style w:type="paragraph" w:styleId="8">
    <w:name w:val="List Paragraph"/>
    <w:basedOn w:val="1"/>
    <w:qFormat/>
    <w:uiPriority w:val="34"/>
    <w:pPr>
      <w:ind w:firstLine="420" w:firstLineChars="200"/>
    </w:pPr>
    <w:rPr>
      <w:rFonts w:ascii="Calibri" w:hAnsi="Calibri" w:eastAsia="宋体" w:cs="Times New Roman"/>
      <w:szCs w:val="22"/>
    </w:rPr>
  </w:style>
  <w:style w:type="paragraph" w:customStyle="1" w:styleId="9">
    <w:name w:val="Table Paragraph"/>
    <w:basedOn w:val="1"/>
    <w:qFormat/>
    <w:uiPriority w:val="1"/>
    <w:pPr>
      <w:widowControl/>
      <w:jc w:val="left"/>
    </w:pPr>
    <w:rPr>
      <w:kern w:val="0"/>
      <w:sz w:val="24"/>
    </w:rPr>
  </w:style>
  <w:style w:type="paragraph" w:customStyle="1" w:styleId="10">
    <w:name w:val="_Style 5"/>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2025-07-29T07:01:00Z</dcterms:created>
  <dc:creator>王钰</dc:creator>
  <cp:lastModifiedBy>王钰</cp:lastModifiedBy>
  <dcterms:modified xsi:type="dcterms:W3CDTF">2025-07-29T07:10:01Z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587D5E7A6DB644B1A4032B2BE0344930_11</vt:lpwstr>
  </property>
  <property fmtid="{D5CDD505-2E9C-101B-9397-08002B2CF9AE}" pid="4" name="KSOTemplateDocerSaveRecord">
    <vt:lpwstr>eyJoZGlkIjoiMmI5MDYyNDIwNjBjMmJhYWM4ZmVlNWExNDllNjk3ODYiLCJ1c2VySWQiOiIzNDI5NDQwMTEifQ==</vt:lpwstr>
  </property>
</Properties>
</file>