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499AB9">
      <w:pPr>
        <w:spacing w:line="560" w:lineRule="exact"/>
        <w:jc w:val="both"/>
        <w:rPr>
          <w:rFonts w:hint="eastAsia"/>
          <w:b/>
          <w:bCs/>
          <w:sz w:val="46"/>
        </w:rPr>
      </w:pPr>
    </w:p>
    <w:p w14:paraId="2E63F9DC">
      <w:pPr>
        <w:spacing w:line="560" w:lineRule="exact"/>
        <w:ind w:left="105" w:leftChars="50" w:firstLine="472" w:firstLineChars="98"/>
        <w:jc w:val="center"/>
        <w:rPr>
          <w:rFonts w:hint="eastAsia" w:ascii="仿宋" w:hAnsi="仿宋" w:eastAsia="仿宋" w:cs="仿宋"/>
          <w:b/>
          <w:bCs/>
          <w:sz w:val="48"/>
          <w:szCs w:val="48"/>
        </w:rPr>
      </w:pPr>
      <w:r>
        <w:rPr>
          <w:rFonts w:hint="eastAsia" w:ascii="黑体" w:hAnsi="黑体" w:eastAsia="黑体" w:cs="黑体"/>
          <w:b/>
          <w:bCs/>
          <w:sz w:val="48"/>
          <w:szCs w:val="48"/>
          <w:lang w:val="en-US" w:eastAsia="zh-CN"/>
        </w:rPr>
        <w:t>招标（评审）</w:t>
      </w:r>
      <w:r>
        <w:rPr>
          <w:rFonts w:hint="eastAsia" w:ascii="黑体" w:hAnsi="黑体" w:eastAsia="黑体" w:cs="黑体"/>
          <w:b/>
          <w:bCs/>
          <w:sz w:val="48"/>
          <w:szCs w:val="48"/>
        </w:rPr>
        <w:t>工程量清单编制说明</w:t>
      </w:r>
    </w:p>
    <w:p w14:paraId="7BCA0E3F">
      <w:pPr>
        <w:spacing w:line="560" w:lineRule="exact"/>
        <w:ind w:left="105" w:leftChars="50" w:firstLine="453" w:firstLineChars="98"/>
        <w:jc w:val="center"/>
        <w:rPr>
          <w:b/>
          <w:bCs/>
          <w:sz w:val="46"/>
        </w:rPr>
      </w:pPr>
    </w:p>
    <w:p w14:paraId="05B4F42C">
      <w:pPr>
        <w:adjustRightInd w:val="0"/>
        <w:snapToGrid w:val="0"/>
        <w:spacing w:line="520" w:lineRule="exact"/>
        <w:rPr>
          <w:rFonts w:hint="eastAsia" w:ascii="黑体" w:hAnsi="黑体" w:eastAsia="黑体" w:cs="黑体"/>
          <w:b/>
          <w:bCs/>
          <w:sz w:val="32"/>
          <w:szCs w:val="32"/>
        </w:rPr>
      </w:pPr>
      <w:r>
        <w:rPr>
          <w:rFonts w:hint="eastAsia" w:ascii="黑体" w:hAnsi="黑体" w:eastAsia="黑体" w:cs="黑体"/>
          <w:b/>
          <w:bCs/>
          <w:sz w:val="32"/>
          <w:szCs w:val="32"/>
        </w:rPr>
        <w:t>一、工程概况</w:t>
      </w:r>
    </w:p>
    <w:p w14:paraId="767F0CC2">
      <w:pPr>
        <w:ind w:firstLine="600" w:firstLineChars="200"/>
        <w:rPr>
          <w:rFonts w:hint="eastAsia" w:ascii="黑体" w:hAnsi="黑体" w:eastAsia="黑体" w:cs="黑体"/>
          <w:sz w:val="30"/>
          <w:szCs w:val="30"/>
        </w:rPr>
      </w:pPr>
      <w:r>
        <w:rPr>
          <w:rFonts w:hint="eastAsia" w:ascii="黑体" w:hAnsi="黑体" w:eastAsia="黑体" w:cs="黑体"/>
          <w:sz w:val="30"/>
          <w:szCs w:val="30"/>
        </w:rPr>
        <w:t>1、工程名称：</w:t>
      </w:r>
      <w:r>
        <w:rPr>
          <w:rFonts w:hint="eastAsia" w:ascii="黑体" w:hAnsi="黑体" w:eastAsia="黑体" w:cs="黑体"/>
          <w:sz w:val="30"/>
          <w:szCs w:val="30"/>
          <w:lang w:val="en-US" w:eastAsia="zh-CN"/>
        </w:rPr>
        <w:t>贵州省福泉市牛场供养中心提质改造项目</w:t>
      </w:r>
      <w:r>
        <w:rPr>
          <w:rFonts w:hint="eastAsia" w:ascii="黑体" w:hAnsi="黑体" w:eastAsia="黑体" w:cs="黑体"/>
          <w:sz w:val="30"/>
          <w:szCs w:val="30"/>
        </w:rPr>
        <w:t>；</w:t>
      </w:r>
    </w:p>
    <w:p w14:paraId="49C9350F">
      <w:pPr>
        <w:pStyle w:val="4"/>
        <w:rPr>
          <w:rFonts w:hint="eastAsia" w:ascii="黑体" w:hAnsi="黑体" w:eastAsia="黑体" w:cs="黑体"/>
          <w:lang w:val="en-US" w:eastAsia="zh-CN"/>
        </w:rPr>
      </w:pPr>
      <w:r>
        <w:rPr>
          <w:rFonts w:hint="eastAsia" w:ascii="黑体" w:hAnsi="黑体" w:eastAsia="黑体" w:cs="黑体"/>
          <w:sz w:val="30"/>
          <w:szCs w:val="30"/>
          <w:lang w:val="en-US" w:eastAsia="zh-CN"/>
        </w:rPr>
        <w:t xml:space="preserve"> 2、建设单位：福泉市民政局；</w:t>
      </w:r>
    </w:p>
    <w:p w14:paraId="03FEBC14">
      <w:pPr>
        <w:ind w:firstLine="600" w:firstLineChars="200"/>
        <w:rPr>
          <w:rFonts w:hint="eastAsia" w:ascii="黑体" w:hAnsi="黑体" w:eastAsia="黑体" w:cs="黑体"/>
          <w:sz w:val="30"/>
          <w:szCs w:val="30"/>
        </w:rPr>
      </w:pPr>
      <w:r>
        <w:rPr>
          <w:rFonts w:hint="eastAsia" w:ascii="黑体" w:hAnsi="黑体" w:eastAsia="黑体" w:cs="黑体"/>
          <w:sz w:val="30"/>
          <w:szCs w:val="30"/>
          <w:lang w:val="en-US" w:eastAsia="zh-CN"/>
        </w:rPr>
        <w:t>3</w:t>
      </w:r>
      <w:r>
        <w:rPr>
          <w:rFonts w:hint="eastAsia" w:ascii="黑体" w:hAnsi="黑体" w:eastAsia="黑体" w:cs="黑体"/>
          <w:sz w:val="30"/>
          <w:szCs w:val="30"/>
        </w:rPr>
        <w:t>、工程地点：</w:t>
      </w:r>
      <w:r>
        <w:rPr>
          <w:rFonts w:hint="eastAsia" w:ascii="黑体" w:hAnsi="黑体" w:eastAsia="黑体" w:cs="黑体"/>
          <w:sz w:val="30"/>
          <w:szCs w:val="30"/>
          <w:lang w:val="en-US" w:eastAsia="zh-CN"/>
        </w:rPr>
        <w:t>福泉市牛场镇</w:t>
      </w:r>
      <w:r>
        <w:rPr>
          <w:rFonts w:hint="eastAsia" w:ascii="黑体" w:hAnsi="黑体" w:eastAsia="黑体" w:cs="黑体"/>
          <w:sz w:val="30"/>
          <w:szCs w:val="30"/>
        </w:rPr>
        <w:t>；</w:t>
      </w:r>
    </w:p>
    <w:p w14:paraId="64CB377C">
      <w:pPr>
        <w:keepNext w:val="0"/>
        <w:keepLines w:val="0"/>
        <w:pageBreakBefore w:val="0"/>
        <w:widowControl w:val="0"/>
        <w:kinsoku/>
        <w:wordWrap/>
        <w:overflowPunct/>
        <w:topLinePunct w:val="0"/>
        <w:autoSpaceDE/>
        <w:autoSpaceDN/>
        <w:bidi w:val="0"/>
        <w:adjustRightInd/>
        <w:snapToGrid/>
        <w:spacing w:line="540" w:lineRule="atLeast"/>
        <w:ind w:firstLine="600" w:firstLineChars="200"/>
        <w:textAlignment w:val="auto"/>
        <w:rPr>
          <w:rFonts w:hint="default" w:ascii="黑体" w:hAnsi="黑体" w:eastAsia="黑体" w:cs="黑体"/>
          <w:sz w:val="30"/>
          <w:szCs w:val="30"/>
          <w:lang w:val="en-US" w:eastAsia="zh-CN"/>
        </w:rPr>
      </w:pPr>
      <w:r>
        <w:rPr>
          <w:rFonts w:hint="eastAsia" w:ascii="黑体" w:hAnsi="黑体" w:eastAsia="黑体" w:cs="黑体"/>
          <w:sz w:val="30"/>
          <w:szCs w:val="30"/>
          <w:lang w:val="en-US" w:eastAsia="zh-CN"/>
        </w:rPr>
        <w:t>4、建设内容：本工程为贵州省福泉市牛场供养中心提质改造项目，项目建设单位为福泉市民政局、建设地点为福泉市牛场镇，项目性质为改建工程，项目建设内容为：本项目建筑面积约2095.66m2，按《贵州省敬老院装修和改造提升指南》文件要求，对福泉市牛场供养中心进行提质改造，建设内容包括增加和完善院内适老化设施，室内进行重新装饰装修，将院内所有房屋门加宽加高和新增卫生间、处理地面和墙体，购置安装一部无障碍电梯及相关设备。</w:t>
      </w:r>
    </w:p>
    <w:p w14:paraId="5BF10670">
      <w:pPr>
        <w:adjustRightInd w:val="0"/>
        <w:snapToGrid w:val="0"/>
        <w:spacing w:line="520" w:lineRule="exact"/>
        <w:rPr>
          <w:rFonts w:hint="eastAsia" w:ascii="黑体" w:hAnsi="黑体" w:eastAsia="黑体" w:cs="黑体"/>
          <w:b/>
          <w:bCs/>
          <w:sz w:val="32"/>
          <w:szCs w:val="32"/>
        </w:rPr>
      </w:pPr>
      <w:r>
        <w:rPr>
          <w:rFonts w:hint="eastAsia" w:ascii="黑体" w:hAnsi="黑体" w:eastAsia="黑体" w:cs="黑体"/>
          <w:b/>
          <w:bCs/>
          <w:sz w:val="32"/>
          <w:szCs w:val="32"/>
        </w:rPr>
        <w:t>二、</w:t>
      </w:r>
      <w:r>
        <w:rPr>
          <w:rFonts w:hint="eastAsia" w:ascii="黑体" w:hAnsi="黑体" w:eastAsia="黑体" w:cs="黑体"/>
          <w:b/>
          <w:bCs/>
          <w:sz w:val="32"/>
          <w:szCs w:val="32"/>
          <w:lang w:val="en-US" w:eastAsia="zh-CN"/>
        </w:rPr>
        <w:t>招标工程量</w:t>
      </w:r>
      <w:r>
        <w:rPr>
          <w:rFonts w:hint="eastAsia" w:ascii="黑体" w:hAnsi="黑体" w:eastAsia="黑体" w:cs="黑体"/>
          <w:b/>
          <w:bCs/>
          <w:sz w:val="32"/>
          <w:szCs w:val="32"/>
        </w:rPr>
        <w:t>清单编制范围</w:t>
      </w:r>
    </w:p>
    <w:p w14:paraId="7C82FAF9">
      <w:pPr>
        <w:adjustRightInd w:val="0"/>
        <w:snapToGrid w:val="0"/>
        <w:spacing w:line="520" w:lineRule="exact"/>
        <w:ind w:firstLine="600" w:firstLineChars="200"/>
        <w:rPr>
          <w:rFonts w:hint="default" w:ascii="黑体" w:hAnsi="黑体" w:eastAsia="黑体" w:cs="黑体"/>
          <w:b w:val="0"/>
          <w:bCs w:val="0"/>
          <w:sz w:val="30"/>
          <w:szCs w:val="30"/>
          <w:lang w:val="en-US" w:eastAsia="zh-CN"/>
        </w:rPr>
      </w:pPr>
      <w:r>
        <w:rPr>
          <w:rFonts w:hint="eastAsia" w:ascii="黑体" w:hAnsi="黑体" w:eastAsia="黑体" w:cs="黑体"/>
          <w:sz w:val="30"/>
          <w:szCs w:val="30"/>
          <w:lang w:val="en-US" w:eastAsia="zh-CN"/>
        </w:rPr>
        <w:t>贵州省福泉市牛场供养中心提质改造项目施工图设计范围内全部内容；</w:t>
      </w:r>
    </w:p>
    <w:p w14:paraId="03A7840F">
      <w:pPr>
        <w:adjustRightInd w:val="0"/>
        <w:snapToGrid w:val="0"/>
        <w:spacing w:line="520" w:lineRule="exact"/>
        <w:rPr>
          <w:rFonts w:hint="eastAsia" w:ascii="黑体" w:hAnsi="黑体" w:eastAsia="黑体" w:cs="黑体"/>
          <w:b/>
          <w:color w:val="FF0000"/>
          <w:sz w:val="32"/>
          <w:szCs w:val="32"/>
        </w:rPr>
      </w:pPr>
      <w:r>
        <w:rPr>
          <w:rFonts w:hint="eastAsia" w:ascii="黑体" w:hAnsi="黑体" w:eastAsia="黑体" w:cs="黑体"/>
          <w:b/>
          <w:bCs/>
          <w:sz w:val="32"/>
          <w:szCs w:val="32"/>
        </w:rPr>
        <w:t>三、</w:t>
      </w:r>
      <w:r>
        <w:rPr>
          <w:rFonts w:hint="eastAsia" w:ascii="黑体" w:hAnsi="黑体" w:eastAsia="黑体" w:cs="黑体"/>
          <w:b/>
          <w:bCs/>
          <w:sz w:val="32"/>
          <w:szCs w:val="32"/>
          <w:lang w:val="en-US" w:eastAsia="zh-CN"/>
        </w:rPr>
        <w:t>招标</w:t>
      </w:r>
      <w:r>
        <w:rPr>
          <w:rFonts w:hint="eastAsia" w:ascii="黑体" w:hAnsi="黑体" w:eastAsia="黑体" w:cs="黑体"/>
          <w:b/>
          <w:bCs/>
          <w:sz w:val="32"/>
          <w:szCs w:val="32"/>
        </w:rPr>
        <w:t>工程量清单编制依据</w:t>
      </w:r>
    </w:p>
    <w:p w14:paraId="129E5111">
      <w:pPr>
        <w:adjustRightInd w:val="0"/>
        <w:snapToGrid w:val="0"/>
        <w:spacing w:line="520" w:lineRule="exact"/>
        <w:ind w:firstLine="600" w:firstLineChars="200"/>
        <w:rPr>
          <w:rFonts w:hint="eastAsia" w:ascii="黑体" w:hAnsi="黑体" w:eastAsia="黑体" w:cs="黑体"/>
          <w:b w:val="0"/>
          <w:color w:val="000000"/>
          <w:sz w:val="30"/>
          <w:szCs w:val="30"/>
          <w:highlight w:val="none"/>
          <w:lang w:eastAsia="zh-CN"/>
        </w:rPr>
      </w:pPr>
      <w:r>
        <w:rPr>
          <w:rFonts w:hint="eastAsia" w:ascii="黑体" w:hAnsi="黑体" w:eastAsia="黑体" w:cs="黑体"/>
          <w:b w:val="0"/>
          <w:color w:val="000000"/>
          <w:sz w:val="30"/>
          <w:szCs w:val="30"/>
          <w:highlight w:val="none"/>
          <w:lang w:eastAsia="zh-CN"/>
        </w:rPr>
        <w:t>1、</w:t>
      </w:r>
      <w:r>
        <w:rPr>
          <w:rFonts w:hint="eastAsia" w:ascii="黑体" w:hAnsi="黑体" w:eastAsia="黑体" w:cs="黑体"/>
          <w:b w:val="0"/>
          <w:color w:val="000000"/>
          <w:sz w:val="30"/>
          <w:szCs w:val="30"/>
          <w:highlight w:val="none"/>
          <w:lang w:val="en-US" w:eastAsia="zh-CN"/>
        </w:rPr>
        <w:t>建设单位2025年06月19日提供的关于“贵州省福泉市牛场供养中心提质改造项目”的预算书、设计施工图及相关资料；</w:t>
      </w:r>
    </w:p>
    <w:p w14:paraId="5D33CFC1">
      <w:pPr>
        <w:adjustRightInd w:val="0"/>
        <w:snapToGrid w:val="0"/>
        <w:spacing w:line="520" w:lineRule="exact"/>
        <w:ind w:firstLine="600" w:firstLineChars="200"/>
        <w:rPr>
          <w:rFonts w:hint="eastAsia" w:ascii="黑体" w:hAnsi="黑体" w:eastAsia="黑体" w:cs="黑体"/>
          <w:color w:val="000000"/>
          <w:sz w:val="30"/>
          <w:szCs w:val="30"/>
          <w:highlight w:val="none"/>
        </w:rPr>
      </w:pPr>
      <w:r>
        <w:rPr>
          <w:rFonts w:hint="eastAsia" w:ascii="黑体" w:hAnsi="黑体" w:eastAsia="黑体" w:cs="黑体"/>
          <w:b w:val="0"/>
          <w:color w:val="000000"/>
          <w:sz w:val="30"/>
          <w:szCs w:val="30"/>
          <w:highlight w:val="none"/>
          <w:lang w:val="en-US" w:eastAsia="zh-CN"/>
        </w:rPr>
        <w:t>2</w:t>
      </w:r>
      <w:r>
        <w:rPr>
          <w:rFonts w:hint="eastAsia" w:ascii="黑体" w:hAnsi="黑体" w:eastAsia="黑体" w:cs="黑体"/>
          <w:b w:val="0"/>
          <w:color w:val="000000"/>
          <w:sz w:val="30"/>
          <w:szCs w:val="30"/>
          <w:highlight w:val="none"/>
          <w:lang w:eastAsia="zh-CN"/>
        </w:rPr>
        <w:t>、</w:t>
      </w:r>
      <w:r>
        <w:rPr>
          <w:rFonts w:hint="eastAsia" w:ascii="黑体" w:hAnsi="黑体" w:eastAsia="黑体" w:cs="黑体"/>
          <w:color w:val="000000"/>
          <w:sz w:val="30"/>
          <w:szCs w:val="30"/>
          <w:highlight w:val="none"/>
        </w:rPr>
        <w:t>中华人民共和国国家标准《建设工程工程量清单计价规范》（GB50500—2013）</w:t>
      </w:r>
      <w:r>
        <w:rPr>
          <w:rFonts w:hint="eastAsia" w:ascii="黑体" w:hAnsi="黑体" w:eastAsia="黑体" w:cs="黑体"/>
          <w:color w:val="000000"/>
          <w:sz w:val="30"/>
          <w:szCs w:val="30"/>
          <w:highlight w:val="none"/>
          <w:lang w:val="en-US" w:eastAsia="zh-CN"/>
        </w:rPr>
        <w:t>和相关计量规范</w:t>
      </w:r>
      <w:r>
        <w:rPr>
          <w:rFonts w:hint="eastAsia" w:ascii="黑体" w:hAnsi="黑体" w:eastAsia="黑体" w:cs="黑体"/>
          <w:color w:val="000000"/>
          <w:sz w:val="30"/>
          <w:szCs w:val="30"/>
          <w:highlight w:val="none"/>
        </w:rPr>
        <w:t>；</w:t>
      </w:r>
    </w:p>
    <w:p w14:paraId="30EAAF1B">
      <w:pPr>
        <w:adjustRightInd w:val="0"/>
        <w:snapToGrid w:val="0"/>
        <w:spacing w:line="520" w:lineRule="exact"/>
        <w:ind w:firstLine="600" w:firstLineChars="200"/>
        <w:rPr>
          <w:rFonts w:hint="eastAsia" w:ascii="黑体" w:hAnsi="黑体" w:eastAsia="黑体" w:cs="黑体"/>
          <w:color w:val="000000"/>
          <w:sz w:val="30"/>
          <w:szCs w:val="30"/>
          <w:highlight w:val="none"/>
          <w:lang w:val="en-US" w:eastAsia="zh-CN"/>
        </w:rPr>
      </w:pPr>
      <w:r>
        <w:rPr>
          <w:rFonts w:hint="eastAsia" w:ascii="黑体" w:hAnsi="黑体" w:eastAsia="黑体" w:cs="黑体"/>
          <w:color w:val="000000"/>
          <w:sz w:val="30"/>
          <w:szCs w:val="30"/>
          <w:highlight w:val="none"/>
          <w:lang w:val="en-US" w:eastAsia="zh-CN"/>
        </w:rPr>
        <w:t>3</w:t>
      </w:r>
      <w:r>
        <w:rPr>
          <w:rFonts w:hint="eastAsia" w:ascii="黑体" w:hAnsi="黑体" w:eastAsia="黑体" w:cs="黑体"/>
          <w:color w:val="000000"/>
          <w:sz w:val="30"/>
          <w:szCs w:val="30"/>
          <w:highlight w:val="none"/>
        </w:rPr>
        <w:t>、</w:t>
      </w:r>
      <w:r>
        <w:rPr>
          <w:rFonts w:hint="eastAsia" w:ascii="黑体" w:hAnsi="黑体" w:eastAsia="黑体" w:cs="黑体"/>
          <w:color w:val="000000"/>
          <w:sz w:val="30"/>
          <w:szCs w:val="30"/>
          <w:highlight w:val="none"/>
          <w:lang w:val="en-US" w:eastAsia="zh-CN"/>
        </w:rPr>
        <w:t>本项目有关图集、标准和规范；</w:t>
      </w:r>
    </w:p>
    <w:p w14:paraId="78FC68F3">
      <w:pPr>
        <w:adjustRightInd w:val="0"/>
        <w:snapToGrid w:val="0"/>
        <w:spacing w:line="520" w:lineRule="exact"/>
        <w:ind w:firstLine="600" w:firstLineChars="200"/>
        <w:rPr>
          <w:rFonts w:hint="eastAsia" w:ascii="黑体" w:hAnsi="黑体" w:eastAsia="黑体" w:cs="黑体"/>
          <w:color w:val="000000"/>
          <w:sz w:val="30"/>
          <w:szCs w:val="30"/>
          <w:highlight w:val="none"/>
          <w:lang w:eastAsia="zh-CN"/>
        </w:rPr>
      </w:pPr>
      <w:r>
        <w:rPr>
          <w:rFonts w:hint="eastAsia" w:ascii="黑体" w:hAnsi="黑体" w:eastAsia="黑体" w:cs="黑体"/>
          <w:color w:val="000000"/>
          <w:sz w:val="30"/>
          <w:szCs w:val="30"/>
          <w:highlight w:val="none"/>
          <w:lang w:val="en-US" w:eastAsia="zh-CN"/>
        </w:rPr>
        <w:t>4</w:t>
      </w:r>
      <w:r>
        <w:rPr>
          <w:rFonts w:hint="eastAsia" w:ascii="黑体" w:hAnsi="黑体" w:eastAsia="黑体" w:cs="黑体"/>
          <w:color w:val="000000"/>
          <w:sz w:val="30"/>
          <w:szCs w:val="30"/>
          <w:highlight w:val="none"/>
        </w:rPr>
        <w:t>、税金按贵州省住房和城乡建设厅关于印发《建筑业营业税改征增值税建筑工程计价依据调整实施意见（试行）》的通知（黔建建通【201</w:t>
      </w:r>
      <w:r>
        <w:rPr>
          <w:rFonts w:hint="eastAsia" w:ascii="黑体" w:hAnsi="黑体" w:eastAsia="黑体" w:cs="黑体"/>
          <w:color w:val="000000"/>
          <w:sz w:val="30"/>
          <w:szCs w:val="30"/>
          <w:highlight w:val="none"/>
          <w:lang w:val="en-US" w:eastAsia="zh-CN"/>
        </w:rPr>
        <w:t>9</w:t>
      </w:r>
      <w:r>
        <w:rPr>
          <w:rFonts w:hint="eastAsia" w:ascii="黑体" w:hAnsi="黑体" w:eastAsia="黑体" w:cs="黑体"/>
          <w:color w:val="000000"/>
          <w:sz w:val="30"/>
          <w:szCs w:val="30"/>
          <w:highlight w:val="none"/>
        </w:rPr>
        <w:t>】</w:t>
      </w:r>
      <w:r>
        <w:rPr>
          <w:rFonts w:hint="eastAsia" w:ascii="黑体" w:hAnsi="黑体" w:eastAsia="黑体" w:cs="黑体"/>
          <w:color w:val="000000"/>
          <w:sz w:val="30"/>
          <w:szCs w:val="30"/>
          <w:highlight w:val="none"/>
          <w:lang w:val="en-US" w:eastAsia="zh-CN"/>
        </w:rPr>
        <w:t>121</w:t>
      </w:r>
      <w:r>
        <w:rPr>
          <w:rFonts w:hint="eastAsia" w:ascii="黑体" w:hAnsi="黑体" w:eastAsia="黑体" w:cs="黑体"/>
          <w:color w:val="000000"/>
          <w:sz w:val="30"/>
          <w:szCs w:val="30"/>
          <w:highlight w:val="none"/>
        </w:rPr>
        <w:t>号）执行；</w:t>
      </w:r>
    </w:p>
    <w:p w14:paraId="37A35282">
      <w:pPr>
        <w:adjustRightInd w:val="0"/>
        <w:snapToGrid w:val="0"/>
        <w:spacing w:line="520" w:lineRule="exact"/>
        <w:ind w:firstLine="600" w:firstLineChars="200"/>
        <w:rPr>
          <w:rFonts w:hint="eastAsia" w:ascii="黑体" w:hAnsi="黑体" w:eastAsia="黑体" w:cs="黑体"/>
          <w:bCs/>
          <w:sz w:val="30"/>
          <w:szCs w:val="30"/>
          <w:lang w:val="en-US" w:eastAsia="zh-CN"/>
        </w:rPr>
      </w:pPr>
      <w:r>
        <w:rPr>
          <w:rFonts w:hint="eastAsia" w:ascii="黑体" w:hAnsi="黑体" w:eastAsia="黑体" w:cs="黑体"/>
          <w:color w:val="000000"/>
          <w:sz w:val="30"/>
          <w:szCs w:val="30"/>
          <w:highlight w:val="none"/>
          <w:lang w:val="en-US" w:eastAsia="zh-CN"/>
        </w:rPr>
        <w:t>5</w:t>
      </w:r>
      <w:r>
        <w:rPr>
          <w:rFonts w:hint="eastAsia" w:ascii="黑体" w:hAnsi="黑体" w:eastAsia="黑体" w:cs="黑体"/>
          <w:color w:val="000000"/>
          <w:sz w:val="30"/>
          <w:szCs w:val="30"/>
          <w:highlight w:val="none"/>
        </w:rPr>
        <w:t>、</w:t>
      </w:r>
      <w:r>
        <w:rPr>
          <w:rFonts w:hint="eastAsia" w:ascii="黑体" w:hAnsi="黑体" w:eastAsia="黑体" w:cs="黑体"/>
          <w:color w:val="000000"/>
          <w:sz w:val="30"/>
          <w:szCs w:val="30"/>
          <w:highlight w:val="none"/>
          <w:lang w:val="en-US" w:eastAsia="zh-CN"/>
        </w:rPr>
        <w:t>规费按贵州省住房和城乡建设厅关于印发《关于调整贵州省建设工程计价依据规费费率的通知》（黔建建字〔2019〕317号）执行</w:t>
      </w:r>
      <w:r>
        <w:rPr>
          <w:rFonts w:hint="eastAsia" w:ascii="黑体" w:hAnsi="黑体" w:eastAsia="黑体" w:cs="黑体"/>
          <w:bCs/>
          <w:sz w:val="30"/>
          <w:szCs w:val="30"/>
          <w:lang w:val="en-US" w:eastAsia="zh-CN"/>
        </w:rPr>
        <w:t>；</w:t>
      </w:r>
    </w:p>
    <w:p w14:paraId="16ED8B20">
      <w:pPr>
        <w:adjustRightInd w:val="0"/>
        <w:snapToGrid w:val="0"/>
        <w:spacing w:line="52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6</w:t>
      </w:r>
      <w:r>
        <w:rPr>
          <w:rFonts w:hint="eastAsia" w:ascii="黑体" w:hAnsi="黑体" w:eastAsia="黑体" w:cs="黑体"/>
          <w:sz w:val="32"/>
          <w:szCs w:val="32"/>
        </w:rPr>
        <w:t>、</w:t>
      </w:r>
      <w:r>
        <w:rPr>
          <w:rFonts w:hint="eastAsia" w:ascii="黑体" w:hAnsi="黑体" w:eastAsia="黑体" w:cs="黑体"/>
          <w:color w:val="000000"/>
          <w:sz w:val="30"/>
          <w:szCs w:val="30"/>
          <w:highlight w:val="none"/>
          <w:lang w:val="en-US" w:eastAsia="zh-CN"/>
        </w:rPr>
        <w:t>国家有关法律、法规及有关现行技术规范</w:t>
      </w:r>
      <w:r>
        <w:rPr>
          <w:rFonts w:hint="eastAsia" w:ascii="黑体" w:hAnsi="黑体" w:eastAsia="黑体" w:cs="黑体"/>
          <w:sz w:val="32"/>
          <w:szCs w:val="32"/>
          <w:lang w:val="en-US" w:eastAsia="zh-CN"/>
        </w:rPr>
        <w:t>。</w:t>
      </w:r>
    </w:p>
    <w:p w14:paraId="2F4CF169">
      <w:pPr>
        <w:numPr>
          <w:ilvl w:val="0"/>
          <w:numId w:val="1"/>
        </w:numPr>
        <w:adjustRightInd w:val="0"/>
        <w:snapToGrid w:val="0"/>
        <w:spacing w:line="520" w:lineRule="exact"/>
        <w:rPr>
          <w:rFonts w:hint="eastAsia" w:ascii="黑体" w:hAnsi="黑体" w:eastAsia="黑体" w:cs="黑体"/>
          <w:b/>
          <w:bCs/>
          <w:sz w:val="32"/>
          <w:szCs w:val="32"/>
        </w:rPr>
      </w:pPr>
      <w:r>
        <w:rPr>
          <w:rFonts w:hint="eastAsia" w:ascii="黑体" w:hAnsi="黑体" w:eastAsia="黑体" w:cs="黑体"/>
          <w:b/>
          <w:bCs/>
          <w:sz w:val="32"/>
          <w:szCs w:val="32"/>
        </w:rPr>
        <w:t>特别说明</w:t>
      </w:r>
    </w:p>
    <w:p w14:paraId="691CEE88">
      <w:pPr>
        <w:numPr>
          <w:ilvl w:val="0"/>
          <w:numId w:val="0"/>
        </w:numPr>
        <w:adjustRightInd w:val="0"/>
        <w:snapToGrid w:val="0"/>
        <w:spacing w:line="520" w:lineRule="exact"/>
        <w:ind w:firstLine="642"/>
        <w:rPr>
          <w:rFonts w:hint="eastAsia" w:ascii="黑体" w:hAnsi="黑体" w:eastAsia="黑体" w:cs="黑体"/>
          <w:bCs/>
          <w:sz w:val="30"/>
          <w:szCs w:val="30"/>
          <w:lang w:val="en-US" w:eastAsia="zh-CN"/>
        </w:rPr>
      </w:pPr>
      <w:r>
        <w:rPr>
          <w:rFonts w:hint="eastAsia" w:ascii="黑体" w:hAnsi="黑体" w:eastAsia="黑体" w:cs="黑体"/>
          <w:bCs/>
          <w:sz w:val="30"/>
          <w:szCs w:val="30"/>
          <w:lang w:val="en-US" w:eastAsia="zh-CN"/>
        </w:rPr>
        <w:t>1、本工程所有工程项目的工作内容应包含清单中所列出的工作内容，其完整的工作内容应为按照设计图纸、现行的相关施工工艺、技术规范和标准、施工质量验收标准和施工规范等要求实施完成该项工程并达到设计和规范要求的所有内容；</w:t>
      </w:r>
    </w:p>
    <w:p w14:paraId="5AC3F8F8">
      <w:pPr>
        <w:numPr>
          <w:ilvl w:val="0"/>
          <w:numId w:val="0"/>
        </w:numPr>
        <w:adjustRightInd w:val="0"/>
        <w:snapToGrid w:val="0"/>
        <w:spacing w:line="520" w:lineRule="exact"/>
        <w:ind w:firstLine="642"/>
        <w:rPr>
          <w:rFonts w:hint="eastAsia" w:ascii="黑体" w:hAnsi="黑体" w:eastAsia="黑体" w:cs="黑体"/>
          <w:bCs/>
          <w:sz w:val="30"/>
          <w:szCs w:val="30"/>
          <w:lang w:val="en-US" w:eastAsia="zh-CN"/>
        </w:rPr>
      </w:pPr>
      <w:r>
        <w:rPr>
          <w:rFonts w:hint="eastAsia" w:ascii="黑体" w:hAnsi="黑体" w:eastAsia="黑体" w:cs="黑体"/>
          <w:bCs/>
          <w:sz w:val="30"/>
          <w:szCs w:val="30"/>
          <w:lang w:val="en-US" w:eastAsia="zh-CN"/>
        </w:rPr>
        <w:t>2、工程量清单应与招标文件中的投标人须知、通用合同条款、专用合同条款、技术标准和要求（合同技术条款）、图纸及《建设工程工程量清单计价规范》（GB50500-2013）等一起阅读和理解；</w:t>
      </w:r>
    </w:p>
    <w:p w14:paraId="6112008A">
      <w:pPr>
        <w:adjustRightInd w:val="0"/>
        <w:snapToGrid w:val="0"/>
        <w:spacing w:line="560" w:lineRule="exact"/>
        <w:ind w:firstLine="600" w:firstLineChars="200"/>
        <w:rPr>
          <w:rFonts w:hint="eastAsia" w:ascii="黑体" w:hAnsi="黑体" w:eastAsia="黑体" w:cs="黑体"/>
          <w:bCs/>
          <w:sz w:val="30"/>
          <w:szCs w:val="30"/>
          <w:lang w:val="en-US" w:eastAsia="zh-CN"/>
        </w:rPr>
      </w:pPr>
      <w:r>
        <w:rPr>
          <w:rFonts w:hint="eastAsia" w:ascii="黑体" w:hAnsi="黑体" w:eastAsia="黑体" w:cs="黑体"/>
          <w:bCs/>
          <w:sz w:val="30"/>
          <w:szCs w:val="30"/>
          <w:lang w:val="en-US" w:eastAsia="zh-CN"/>
        </w:rPr>
        <w:t>3、工程量清单中所列工程数量是估算或设计的预计数量，仅作为投标的共同基础，不能作为最终结算工程量，最终结算工程量是承包人实际完成并符合技术标准和要求（合同技术条款）和《建设工程工程量清单计价规范》（GB50500-2013）计算规则等规定，按施工图纸计算的有效工程量；</w:t>
      </w:r>
    </w:p>
    <w:p w14:paraId="644238FC">
      <w:pPr>
        <w:adjustRightInd w:val="0"/>
        <w:snapToGrid w:val="0"/>
        <w:spacing w:line="560" w:lineRule="exact"/>
        <w:ind w:firstLine="600" w:firstLineChars="200"/>
        <w:rPr>
          <w:rFonts w:hint="eastAsia" w:ascii="黑体" w:hAnsi="黑体" w:eastAsia="黑体" w:cs="黑体"/>
          <w:bCs/>
          <w:sz w:val="30"/>
          <w:szCs w:val="30"/>
          <w:lang w:val="en-US" w:eastAsia="zh-CN"/>
        </w:rPr>
      </w:pPr>
      <w:r>
        <w:rPr>
          <w:rFonts w:hint="eastAsia" w:ascii="黑体" w:hAnsi="黑体" w:eastAsia="黑体" w:cs="黑体"/>
          <w:bCs/>
          <w:sz w:val="30"/>
          <w:szCs w:val="30"/>
          <w:lang w:val="en-US" w:eastAsia="zh-CN"/>
        </w:rPr>
        <w:t>4、除非合同另有规定，工程量清单中标价的综合单价和合价均包含了完成工程所需的一切费用，以及合同明示或暗示的所有责任、义务和风险；</w:t>
      </w:r>
    </w:p>
    <w:p w14:paraId="7145DF1D">
      <w:pPr>
        <w:pStyle w:val="2"/>
        <w:jc w:val="both"/>
        <w:rPr>
          <w:rFonts w:hint="default"/>
          <w:lang w:val="en-US" w:eastAsia="zh-CN"/>
        </w:rPr>
      </w:pPr>
      <w:r>
        <w:rPr>
          <w:rFonts w:hint="eastAsia" w:ascii="黑体" w:hAnsi="黑体" w:eastAsia="黑体" w:cs="黑体"/>
          <w:bCs/>
          <w:sz w:val="30"/>
          <w:szCs w:val="30"/>
          <w:lang w:val="en-US" w:eastAsia="zh-CN"/>
        </w:rPr>
        <w:t xml:space="preserve">  5、电梯、凉亭走廊、成品消防水池及水泵房（容积378m3）工程按</w:t>
      </w:r>
      <w:bookmarkStart w:id="0" w:name="_GoBack"/>
      <w:bookmarkEnd w:id="0"/>
      <w:r>
        <w:rPr>
          <w:rFonts w:hint="eastAsia" w:ascii="黑体" w:hAnsi="黑体" w:eastAsia="黑体" w:cs="黑体"/>
          <w:bCs/>
          <w:sz w:val="30"/>
          <w:szCs w:val="30"/>
          <w:lang w:val="en-US" w:eastAsia="zh-CN"/>
        </w:rPr>
        <w:t>550000.00元（不含税）以专业工程暂估价计入招标控制价，项目实施过程中按实际发生据实结算。</w:t>
      </w:r>
    </w:p>
    <w:p w14:paraId="45C14F64">
      <w:pPr>
        <w:pStyle w:val="9"/>
        <w:rPr>
          <w:rFonts w:hint="default"/>
          <w:lang w:val="en-US"/>
        </w:rPr>
      </w:pPr>
      <w:r>
        <w:rPr>
          <w:rFonts w:hint="eastAsia" w:ascii="黑体" w:hAnsi="黑体" w:eastAsia="黑体" w:cs="黑体"/>
          <w:bCs/>
          <w:sz w:val="30"/>
          <w:szCs w:val="30"/>
          <w:lang w:val="en-US" w:eastAsia="zh-CN"/>
        </w:rPr>
        <w:t xml:space="preserve">    </w:t>
      </w: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E730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1C76A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1C76A4">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A2B323"/>
    <w:multiLevelType w:val="singleLevel"/>
    <w:tmpl w:val="02A2B32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xMjIxNGUxODcyYThmMzZjNDAyODMxNDI5YmQ4YjcifQ=="/>
  </w:docVars>
  <w:rsids>
    <w:rsidRoot w:val="00AE09AD"/>
    <w:rsid w:val="000463F5"/>
    <w:rsid w:val="000B6281"/>
    <w:rsid w:val="001669D4"/>
    <w:rsid w:val="00212456"/>
    <w:rsid w:val="0025611A"/>
    <w:rsid w:val="002A2D72"/>
    <w:rsid w:val="002F2023"/>
    <w:rsid w:val="003542E6"/>
    <w:rsid w:val="00413608"/>
    <w:rsid w:val="004362E4"/>
    <w:rsid w:val="0046550B"/>
    <w:rsid w:val="004B5374"/>
    <w:rsid w:val="004E4C33"/>
    <w:rsid w:val="00504A52"/>
    <w:rsid w:val="0056456E"/>
    <w:rsid w:val="00603DCC"/>
    <w:rsid w:val="00613786"/>
    <w:rsid w:val="00615EA1"/>
    <w:rsid w:val="0072596A"/>
    <w:rsid w:val="00763C0C"/>
    <w:rsid w:val="007C0F2D"/>
    <w:rsid w:val="00873573"/>
    <w:rsid w:val="008B5614"/>
    <w:rsid w:val="009A13B3"/>
    <w:rsid w:val="009C56CF"/>
    <w:rsid w:val="00AE09AD"/>
    <w:rsid w:val="00B93F2F"/>
    <w:rsid w:val="00C10C31"/>
    <w:rsid w:val="00C155D5"/>
    <w:rsid w:val="00C44772"/>
    <w:rsid w:val="00C724AC"/>
    <w:rsid w:val="00CA759C"/>
    <w:rsid w:val="00DD2FEC"/>
    <w:rsid w:val="00E96A63"/>
    <w:rsid w:val="00EB4312"/>
    <w:rsid w:val="00EE570F"/>
    <w:rsid w:val="011E0236"/>
    <w:rsid w:val="0168325F"/>
    <w:rsid w:val="01F82EA9"/>
    <w:rsid w:val="02217FDE"/>
    <w:rsid w:val="02B7624C"/>
    <w:rsid w:val="03411FB9"/>
    <w:rsid w:val="03771E7F"/>
    <w:rsid w:val="03962F66"/>
    <w:rsid w:val="03B96980"/>
    <w:rsid w:val="03D378AB"/>
    <w:rsid w:val="03D42E2E"/>
    <w:rsid w:val="03E219EE"/>
    <w:rsid w:val="03FB485E"/>
    <w:rsid w:val="04926F71"/>
    <w:rsid w:val="04BE5FB8"/>
    <w:rsid w:val="04DA0918"/>
    <w:rsid w:val="051756C8"/>
    <w:rsid w:val="05241B93"/>
    <w:rsid w:val="053643EF"/>
    <w:rsid w:val="053C512E"/>
    <w:rsid w:val="05410997"/>
    <w:rsid w:val="05432019"/>
    <w:rsid w:val="058B39B1"/>
    <w:rsid w:val="05A84572"/>
    <w:rsid w:val="066E6F28"/>
    <w:rsid w:val="067526A6"/>
    <w:rsid w:val="06896151"/>
    <w:rsid w:val="06A50AB1"/>
    <w:rsid w:val="06A72A7B"/>
    <w:rsid w:val="073267E9"/>
    <w:rsid w:val="07511E68"/>
    <w:rsid w:val="07763677"/>
    <w:rsid w:val="077A4A49"/>
    <w:rsid w:val="07F65A68"/>
    <w:rsid w:val="084E7652"/>
    <w:rsid w:val="08762705"/>
    <w:rsid w:val="088A61B1"/>
    <w:rsid w:val="08C01BD2"/>
    <w:rsid w:val="08E371A2"/>
    <w:rsid w:val="09173EE8"/>
    <w:rsid w:val="092C1016"/>
    <w:rsid w:val="09306D58"/>
    <w:rsid w:val="09594501"/>
    <w:rsid w:val="096C36E7"/>
    <w:rsid w:val="096D58B6"/>
    <w:rsid w:val="09C95155"/>
    <w:rsid w:val="0A0B50CF"/>
    <w:rsid w:val="0A4707FD"/>
    <w:rsid w:val="0A4A3E4A"/>
    <w:rsid w:val="0AB47515"/>
    <w:rsid w:val="0ABB257C"/>
    <w:rsid w:val="0ABD0ABF"/>
    <w:rsid w:val="0B043FF8"/>
    <w:rsid w:val="0B0C5306"/>
    <w:rsid w:val="0B1A381C"/>
    <w:rsid w:val="0B424B21"/>
    <w:rsid w:val="0B6B051B"/>
    <w:rsid w:val="0B772A1C"/>
    <w:rsid w:val="0B7F3FC7"/>
    <w:rsid w:val="0B923CFA"/>
    <w:rsid w:val="0C0000B3"/>
    <w:rsid w:val="0C0A3890"/>
    <w:rsid w:val="0C112E71"/>
    <w:rsid w:val="0C486E05"/>
    <w:rsid w:val="0C9413AC"/>
    <w:rsid w:val="0C9D2956"/>
    <w:rsid w:val="0D1644B7"/>
    <w:rsid w:val="0D166CFD"/>
    <w:rsid w:val="0D2C7836"/>
    <w:rsid w:val="0D3A1F53"/>
    <w:rsid w:val="0D464D9C"/>
    <w:rsid w:val="0D562B05"/>
    <w:rsid w:val="0D75742F"/>
    <w:rsid w:val="0D8458C4"/>
    <w:rsid w:val="0D896A37"/>
    <w:rsid w:val="0D8E6743"/>
    <w:rsid w:val="0DBF68FD"/>
    <w:rsid w:val="0DDC125D"/>
    <w:rsid w:val="0DED346A"/>
    <w:rsid w:val="0DEF2C07"/>
    <w:rsid w:val="0EB9159E"/>
    <w:rsid w:val="0ECA7307"/>
    <w:rsid w:val="0F1113DA"/>
    <w:rsid w:val="0F212BF4"/>
    <w:rsid w:val="0F955B67"/>
    <w:rsid w:val="0FFE4580"/>
    <w:rsid w:val="102F7D69"/>
    <w:rsid w:val="104650B3"/>
    <w:rsid w:val="10AE3CFA"/>
    <w:rsid w:val="10C55FD8"/>
    <w:rsid w:val="10E01393"/>
    <w:rsid w:val="11090F77"/>
    <w:rsid w:val="1116547F"/>
    <w:rsid w:val="11205904"/>
    <w:rsid w:val="11BC7F56"/>
    <w:rsid w:val="11D54941"/>
    <w:rsid w:val="11DF30C9"/>
    <w:rsid w:val="12045A0B"/>
    <w:rsid w:val="12314106"/>
    <w:rsid w:val="12374CB3"/>
    <w:rsid w:val="12AA7B7B"/>
    <w:rsid w:val="12D469A6"/>
    <w:rsid w:val="12F901BB"/>
    <w:rsid w:val="132C67E2"/>
    <w:rsid w:val="13405DEA"/>
    <w:rsid w:val="13BD568C"/>
    <w:rsid w:val="13C92283"/>
    <w:rsid w:val="13DB3D64"/>
    <w:rsid w:val="148B578A"/>
    <w:rsid w:val="14B06F9F"/>
    <w:rsid w:val="14F90C59"/>
    <w:rsid w:val="14FD3D9F"/>
    <w:rsid w:val="14FE7D0A"/>
    <w:rsid w:val="1546345F"/>
    <w:rsid w:val="15583916"/>
    <w:rsid w:val="15820E0E"/>
    <w:rsid w:val="15B12FCF"/>
    <w:rsid w:val="15EF58A5"/>
    <w:rsid w:val="15FA7262"/>
    <w:rsid w:val="163A2FC4"/>
    <w:rsid w:val="164B6F7F"/>
    <w:rsid w:val="165027E8"/>
    <w:rsid w:val="165A3666"/>
    <w:rsid w:val="166149F5"/>
    <w:rsid w:val="166E7112"/>
    <w:rsid w:val="16866209"/>
    <w:rsid w:val="168D57EA"/>
    <w:rsid w:val="16D524C5"/>
    <w:rsid w:val="17397720"/>
    <w:rsid w:val="17854713"/>
    <w:rsid w:val="17C36FE9"/>
    <w:rsid w:val="17D9680D"/>
    <w:rsid w:val="17E34FEF"/>
    <w:rsid w:val="17E56F60"/>
    <w:rsid w:val="17E7717C"/>
    <w:rsid w:val="17F84EE5"/>
    <w:rsid w:val="18477C1A"/>
    <w:rsid w:val="18736C61"/>
    <w:rsid w:val="1888270D"/>
    <w:rsid w:val="188B27B9"/>
    <w:rsid w:val="189866C8"/>
    <w:rsid w:val="18B227A6"/>
    <w:rsid w:val="18F2402A"/>
    <w:rsid w:val="19157D18"/>
    <w:rsid w:val="19306328"/>
    <w:rsid w:val="19371A3D"/>
    <w:rsid w:val="196B16E7"/>
    <w:rsid w:val="1997072D"/>
    <w:rsid w:val="19A3398A"/>
    <w:rsid w:val="19BB08C0"/>
    <w:rsid w:val="19F17E3E"/>
    <w:rsid w:val="19FB2A6A"/>
    <w:rsid w:val="1A3F329F"/>
    <w:rsid w:val="1A526D67"/>
    <w:rsid w:val="1A534654"/>
    <w:rsid w:val="1A9A6727"/>
    <w:rsid w:val="1ABA7872"/>
    <w:rsid w:val="1B1808B5"/>
    <w:rsid w:val="1B2D759B"/>
    <w:rsid w:val="1B2F5711"/>
    <w:rsid w:val="1B324BB2"/>
    <w:rsid w:val="1B6A60FA"/>
    <w:rsid w:val="1B8A679C"/>
    <w:rsid w:val="1B9413C8"/>
    <w:rsid w:val="1BD25A4D"/>
    <w:rsid w:val="1BE90FFB"/>
    <w:rsid w:val="1BEF65FF"/>
    <w:rsid w:val="1C2344FA"/>
    <w:rsid w:val="1C7D3C0B"/>
    <w:rsid w:val="1C817B9F"/>
    <w:rsid w:val="1CD777BF"/>
    <w:rsid w:val="1D392227"/>
    <w:rsid w:val="1D3C3AC6"/>
    <w:rsid w:val="1D570900"/>
    <w:rsid w:val="1DA358F3"/>
    <w:rsid w:val="1DB21FDA"/>
    <w:rsid w:val="1DB50429"/>
    <w:rsid w:val="1DCF493A"/>
    <w:rsid w:val="1E366767"/>
    <w:rsid w:val="1E4A2212"/>
    <w:rsid w:val="1E544E3F"/>
    <w:rsid w:val="1E65704C"/>
    <w:rsid w:val="1EC27FFB"/>
    <w:rsid w:val="1F090150"/>
    <w:rsid w:val="1F75506D"/>
    <w:rsid w:val="1F861028"/>
    <w:rsid w:val="1FB75686"/>
    <w:rsid w:val="1FCD6396"/>
    <w:rsid w:val="1FD60202"/>
    <w:rsid w:val="20252EEB"/>
    <w:rsid w:val="20A21E92"/>
    <w:rsid w:val="20AE4CDA"/>
    <w:rsid w:val="20FA1CCE"/>
    <w:rsid w:val="20FB5A46"/>
    <w:rsid w:val="20FD17BE"/>
    <w:rsid w:val="21090163"/>
    <w:rsid w:val="211B66E5"/>
    <w:rsid w:val="21221225"/>
    <w:rsid w:val="21262AC3"/>
    <w:rsid w:val="217A2E0F"/>
    <w:rsid w:val="22521696"/>
    <w:rsid w:val="22660B7B"/>
    <w:rsid w:val="22B14893"/>
    <w:rsid w:val="22CD6F6E"/>
    <w:rsid w:val="2389558B"/>
    <w:rsid w:val="23953F30"/>
    <w:rsid w:val="23BF0FAD"/>
    <w:rsid w:val="23CB7951"/>
    <w:rsid w:val="23E32EED"/>
    <w:rsid w:val="240D3C96"/>
    <w:rsid w:val="241035B6"/>
    <w:rsid w:val="24280900"/>
    <w:rsid w:val="24286B52"/>
    <w:rsid w:val="245E4322"/>
    <w:rsid w:val="24637B8A"/>
    <w:rsid w:val="246D0A09"/>
    <w:rsid w:val="24D345BE"/>
    <w:rsid w:val="24DC16EA"/>
    <w:rsid w:val="24E318DF"/>
    <w:rsid w:val="251B0465"/>
    <w:rsid w:val="253D0F51"/>
    <w:rsid w:val="254C061E"/>
    <w:rsid w:val="25513E86"/>
    <w:rsid w:val="25B82C93"/>
    <w:rsid w:val="25BC1C48"/>
    <w:rsid w:val="25C12DBA"/>
    <w:rsid w:val="25D52D09"/>
    <w:rsid w:val="26350999"/>
    <w:rsid w:val="26660D50"/>
    <w:rsid w:val="266876DA"/>
    <w:rsid w:val="26995AE5"/>
    <w:rsid w:val="26AB75C6"/>
    <w:rsid w:val="26F96584"/>
    <w:rsid w:val="27277595"/>
    <w:rsid w:val="273B4DEE"/>
    <w:rsid w:val="274517C9"/>
    <w:rsid w:val="274C0DA9"/>
    <w:rsid w:val="27514612"/>
    <w:rsid w:val="279F712B"/>
    <w:rsid w:val="27B64475"/>
    <w:rsid w:val="27C76682"/>
    <w:rsid w:val="28013942"/>
    <w:rsid w:val="28245882"/>
    <w:rsid w:val="28416434"/>
    <w:rsid w:val="284303FE"/>
    <w:rsid w:val="287C746C"/>
    <w:rsid w:val="28904CC6"/>
    <w:rsid w:val="2895052E"/>
    <w:rsid w:val="28B704A4"/>
    <w:rsid w:val="28CC0AE5"/>
    <w:rsid w:val="28D92B11"/>
    <w:rsid w:val="291E74E1"/>
    <w:rsid w:val="29883BEF"/>
    <w:rsid w:val="29930F11"/>
    <w:rsid w:val="299907F2"/>
    <w:rsid w:val="29A309A6"/>
    <w:rsid w:val="29A50C45"/>
    <w:rsid w:val="29C70BBB"/>
    <w:rsid w:val="29F319B0"/>
    <w:rsid w:val="2A094D30"/>
    <w:rsid w:val="2A0C4820"/>
    <w:rsid w:val="2A9C5BA4"/>
    <w:rsid w:val="2AB56C65"/>
    <w:rsid w:val="2ACF7D27"/>
    <w:rsid w:val="2AEF3F25"/>
    <w:rsid w:val="2B0F45C8"/>
    <w:rsid w:val="2B310C27"/>
    <w:rsid w:val="2B3E4EAD"/>
    <w:rsid w:val="2B715282"/>
    <w:rsid w:val="2B9D3AD2"/>
    <w:rsid w:val="2BB4516F"/>
    <w:rsid w:val="2BB643A2"/>
    <w:rsid w:val="2BC453B2"/>
    <w:rsid w:val="2BDF043E"/>
    <w:rsid w:val="2C025EDA"/>
    <w:rsid w:val="2CAB0320"/>
    <w:rsid w:val="2CC232D1"/>
    <w:rsid w:val="2CE11F94"/>
    <w:rsid w:val="2CF445D2"/>
    <w:rsid w:val="2D177764"/>
    <w:rsid w:val="2D5E35E4"/>
    <w:rsid w:val="2DA273A4"/>
    <w:rsid w:val="2DA74F8B"/>
    <w:rsid w:val="2DC07DFB"/>
    <w:rsid w:val="2DC31699"/>
    <w:rsid w:val="2DCE2518"/>
    <w:rsid w:val="2DE97352"/>
    <w:rsid w:val="2E496043"/>
    <w:rsid w:val="2E5844D8"/>
    <w:rsid w:val="2E6609A2"/>
    <w:rsid w:val="2E7330BF"/>
    <w:rsid w:val="2ED578D6"/>
    <w:rsid w:val="2EE24393"/>
    <w:rsid w:val="2EEE0998"/>
    <w:rsid w:val="2EF75A9F"/>
    <w:rsid w:val="2F230642"/>
    <w:rsid w:val="2F285C58"/>
    <w:rsid w:val="2F481EF8"/>
    <w:rsid w:val="2F614130"/>
    <w:rsid w:val="2FB67708"/>
    <w:rsid w:val="2FC43DA2"/>
    <w:rsid w:val="2FDD47D7"/>
    <w:rsid w:val="2FE36023"/>
    <w:rsid w:val="30330D58"/>
    <w:rsid w:val="30422D49"/>
    <w:rsid w:val="308275EA"/>
    <w:rsid w:val="30A43A04"/>
    <w:rsid w:val="31093867"/>
    <w:rsid w:val="31210BB1"/>
    <w:rsid w:val="31857392"/>
    <w:rsid w:val="319B5D88"/>
    <w:rsid w:val="31B23D99"/>
    <w:rsid w:val="31F664E1"/>
    <w:rsid w:val="3207424B"/>
    <w:rsid w:val="32285F6F"/>
    <w:rsid w:val="32747406"/>
    <w:rsid w:val="328C4750"/>
    <w:rsid w:val="32EB3B6C"/>
    <w:rsid w:val="32EE0F67"/>
    <w:rsid w:val="32F10A57"/>
    <w:rsid w:val="33723946"/>
    <w:rsid w:val="33A15FD9"/>
    <w:rsid w:val="33B201E6"/>
    <w:rsid w:val="34034EE6"/>
    <w:rsid w:val="34050C5E"/>
    <w:rsid w:val="342F7A89"/>
    <w:rsid w:val="34473024"/>
    <w:rsid w:val="345D63A4"/>
    <w:rsid w:val="34790D04"/>
    <w:rsid w:val="348778C5"/>
    <w:rsid w:val="349B7A9A"/>
    <w:rsid w:val="34A75871"/>
    <w:rsid w:val="34AC2E87"/>
    <w:rsid w:val="34EF031D"/>
    <w:rsid w:val="35045E5B"/>
    <w:rsid w:val="352769B2"/>
    <w:rsid w:val="356B689E"/>
    <w:rsid w:val="356E45E1"/>
    <w:rsid w:val="357F234A"/>
    <w:rsid w:val="35A3428A"/>
    <w:rsid w:val="361E1B63"/>
    <w:rsid w:val="364D069A"/>
    <w:rsid w:val="3656754F"/>
    <w:rsid w:val="3699743B"/>
    <w:rsid w:val="370945C1"/>
    <w:rsid w:val="371B42F4"/>
    <w:rsid w:val="37265173"/>
    <w:rsid w:val="372D7A47"/>
    <w:rsid w:val="379876F3"/>
    <w:rsid w:val="37B3452D"/>
    <w:rsid w:val="381C20D2"/>
    <w:rsid w:val="38206066"/>
    <w:rsid w:val="385E26EA"/>
    <w:rsid w:val="38675683"/>
    <w:rsid w:val="38685317"/>
    <w:rsid w:val="388F4F9A"/>
    <w:rsid w:val="38D40BFF"/>
    <w:rsid w:val="38F80D91"/>
    <w:rsid w:val="39AA03EE"/>
    <w:rsid w:val="39B36A66"/>
    <w:rsid w:val="39D569DC"/>
    <w:rsid w:val="39DF52E2"/>
    <w:rsid w:val="39F350B4"/>
    <w:rsid w:val="3A0B0650"/>
    <w:rsid w:val="3A2636DC"/>
    <w:rsid w:val="3A2E433E"/>
    <w:rsid w:val="3A4A1178"/>
    <w:rsid w:val="3A655FB2"/>
    <w:rsid w:val="3A6A7A6C"/>
    <w:rsid w:val="3A802DEC"/>
    <w:rsid w:val="3A824DB6"/>
    <w:rsid w:val="3AE07D2F"/>
    <w:rsid w:val="3AFF59DD"/>
    <w:rsid w:val="3B2415F7"/>
    <w:rsid w:val="3B4B164C"/>
    <w:rsid w:val="3B6E0E96"/>
    <w:rsid w:val="3B842468"/>
    <w:rsid w:val="3B9A1C8B"/>
    <w:rsid w:val="3BD553B9"/>
    <w:rsid w:val="3BF75330"/>
    <w:rsid w:val="3BF770DE"/>
    <w:rsid w:val="3C0E4427"/>
    <w:rsid w:val="3C1001A0"/>
    <w:rsid w:val="3C1467DB"/>
    <w:rsid w:val="3C3C2D43"/>
    <w:rsid w:val="3C94492D"/>
    <w:rsid w:val="3CA56B3A"/>
    <w:rsid w:val="3CBA41BC"/>
    <w:rsid w:val="3CC01BC6"/>
    <w:rsid w:val="3CCA47F2"/>
    <w:rsid w:val="3CF81130"/>
    <w:rsid w:val="3D0A2E41"/>
    <w:rsid w:val="3D30579E"/>
    <w:rsid w:val="3D4E71D1"/>
    <w:rsid w:val="3D577024"/>
    <w:rsid w:val="3D5B7D94"/>
    <w:rsid w:val="3D7F55DD"/>
    <w:rsid w:val="3D8C1AA8"/>
    <w:rsid w:val="3DA94408"/>
    <w:rsid w:val="3DD40DAC"/>
    <w:rsid w:val="3E453243"/>
    <w:rsid w:val="3EB806D6"/>
    <w:rsid w:val="3F06588A"/>
    <w:rsid w:val="3F0B4C4E"/>
    <w:rsid w:val="3F310B59"/>
    <w:rsid w:val="3F8C5D8F"/>
    <w:rsid w:val="3FA72BC9"/>
    <w:rsid w:val="3FC714BD"/>
    <w:rsid w:val="3FE47979"/>
    <w:rsid w:val="3FF57DD8"/>
    <w:rsid w:val="3FFD4EDF"/>
    <w:rsid w:val="400F13F0"/>
    <w:rsid w:val="40385F17"/>
    <w:rsid w:val="4093139F"/>
    <w:rsid w:val="409A44DC"/>
    <w:rsid w:val="40BC4452"/>
    <w:rsid w:val="40C56C80"/>
    <w:rsid w:val="40DC4AF4"/>
    <w:rsid w:val="40EF2A79"/>
    <w:rsid w:val="41483F38"/>
    <w:rsid w:val="414D59F2"/>
    <w:rsid w:val="41566655"/>
    <w:rsid w:val="415D5C35"/>
    <w:rsid w:val="41721661"/>
    <w:rsid w:val="41D91034"/>
    <w:rsid w:val="41E9571B"/>
    <w:rsid w:val="424525A9"/>
    <w:rsid w:val="426D634C"/>
    <w:rsid w:val="42BA0E65"/>
    <w:rsid w:val="42C35F6C"/>
    <w:rsid w:val="42DC0DDB"/>
    <w:rsid w:val="42F06635"/>
    <w:rsid w:val="43157C99"/>
    <w:rsid w:val="4340580E"/>
    <w:rsid w:val="43880F63"/>
    <w:rsid w:val="439B2A45"/>
    <w:rsid w:val="43B9111D"/>
    <w:rsid w:val="43BC29BB"/>
    <w:rsid w:val="44134CD1"/>
    <w:rsid w:val="443127B9"/>
    <w:rsid w:val="44632C0C"/>
    <w:rsid w:val="44827761"/>
    <w:rsid w:val="44A27E03"/>
    <w:rsid w:val="44F7014F"/>
    <w:rsid w:val="451707F1"/>
    <w:rsid w:val="452D1DC2"/>
    <w:rsid w:val="45EA7CB3"/>
    <w:rsid w:val="461C1988"/>
    <w:rsid w:val="46252A99"/>
    <w:rsid w:val="4651429F"/>
    <w:rsid w:val="4666014E"/>
    <w:rsid w:val="46A94618"/>
    <w:rsid w:val="46BD42E0"/>
    <w:rsid w:val="46C67DD9"/>
    <w:rsid w:val="46C93D6D"/>
    <w:rsid w:val="46E81316"/>
    <w:rsid w:val="471A0124"/>
    <w:rsid w:val="475508BA"/>
    <w:rsid w:val="47973927"/>
    <w:rsid w:val="47F27577"/>
    <w:rsid w:val="48030BB8"/>
    <w:rsid w:val="4819662E"/>
    <w:rsid w:val="488F069E"/>
    <w:rsid w:val="48C77A20"/>
    <w:rsid w:val="48F74BC1"/>
    <w:rsid w:val="4908631A"/>
    <w:rsid w:val="49177011"/>
    <w:rsid w:val="49217A8E"/>
    <w:rsid w:val="49290AF3"/>
    <w:rsid w:val="49555444"/>
    <w:rsid w:val="499C3073"/>
    <w:rsid w:val="49B22896"/>
    <w:rsid w:val="49DE7B2F"/>
    <w:rsid w:val="49E8450A"/>
    <w:rsid w:val="49F509D5"/>
    <w:rsid w:val="4A1E617D"/>
    <w:rsid w:val="4A2D016F"/>
    <w:rsid w:val="4A93119A"/>
    <w:rsid w:val="4ABB405E"/>
    <w:rsid w:val="4B007631"/>
    <w:rsid w:val="4B166E55"/>
    <w:rsid w:val="4B313578"/>
    <w:rsid w:val="4B475260"/>
    <w:rsid w:val="4C3E6663"/>
    <w:rsid w:val="4C6065D9"/>
    <w:rsid w:val="4C8449BE"/>
    <w:rsid w:val="4CB66B41"/>
    <w:rsid w:val="4CD34FFD"/>
    <w:rsid w:val="4CD6689C"/>
    <w:rsid w:val="4CE0596C"/>
    <w:rsid w:val="4D072EF9"/>
    <w:rsid w:val="4D115B26"/>
    <w:rsid w:val="4D1675E0"/>
    <w:rsid w:val="4D7F6F33"/>
    <w:rsid w:val="4D92310A"/>
    <w:rsid w:val="4DEB281B"/>
    <w:rsid w:val="4DF0398D"/>
    <w:rsid w:val="4E0A0EF3"/>
    <w:rsid w:val="4E0D2791"/>
    <w:rsid w:val="4E191136"/>
    <w:rsid w:val="4E9B7D9D"/>
    <w:rsid w:val="4EB470B0"/>
    <w:rsid w:val="4EF514EE"/>
    <w:rsid w:val="4F2953A8"/>
    <w:rsid w:val="4F2A1121"/>
    <w:rsid w:val="4F952A3E"/>
    <w:rsid w:val="4F98252E"/>
    <w:rsid w:val="4FB21842"/>
    <w:rsid w:val="4FBA6948"/>
    <w:rsid w:val="4FEC63D6"/>
    <w:rsid w:val="500100D3"/>
    <w:rsid w:val="5019541D"/>
    <w:rsid w:val="50555C92"/>
    <w:rsid w:val="506568B4"/>
    <w:rsid w:val="506D7517"/>
    <w:rsid w:val="508605D9"/>
    <w:rsid w:val="50A54F03"/>
    <w:rsid w:val="50A76ECD"/>
    <w:rsid w:val="50AF18DD"/>
    <w:rsid w:val="50D17AA6"/>
    <w:rsid w:val="50E27F05"/>
    <w:rsid w:val="50F814D6"/>
    <w:rsid w:val="51087240"/>
    <w:rsid w:val="510936E3"/>
    <w:rsid w:val="511931FB"/>
    <w:rsid w:val="517D7C2E"/>
    <w:rsid w:val="51CE66DB"/>
    <w:rsid w:val="51D830B6"/>
    <w:rsid w:val="51FC6DA4"/>
    <w:rsid w:val="523A78CD"/>
    <w:rsid w:val="524D13AE"/>
    <w:rsid w:val="52614E59"/>
    <w:rsid w:val="52DD0FCE"/>
    <w:rsid w:val="53096A60"/>
    <w:rsid w:val="53204D14"/>
    <w:rsid w:val="5325057D"/>
    <w:rsid w:val="53656812"/>
    <w:rsid w:val="539D6365"/>
    <w:rsid w:val="53BA0CC5"/>
    <w:rsid w:val="53DD2C05"/>
    <w:rsid w:val="53F65A75"/>
    <w:rsid w:val="540D14F4"/>
    <w:rsid w:val="54332825"/>
    <w:rsid w:val="543D36A4"/>
    <w:rsid w:val="54866DF9"/>
    <w:rsid w:val="54AD4386"/>
    <w:rsid w:val="54E42C53"/>
    <w:rsid w:val="55012924"/>
    <w:rsid w:val="55085A60"/>
    <w:rsid w:val="5520113B"/>
    <w:rsid w:val="5543118E"/>
    <w:rsid w:val="55482300"/>
    <w:rsid w:val="554D7917"/>
    <w:rsid w:val="55517407"/>
    <w:rsid w:val="55613A30"/>
    <w:rsid w:val="55760C1C"/>
    <w:rsid w:val="55C20305"/>
    <w:rsid w:val="55C93DF5"/>
    <w:rsid w:val="564725B8"/>
    <w:rsid w:val="5689497F"/>
    <w:rsid w:val="56955A19"/>
    <w:rsid w:val="56A43177"/>
    <w:rsid w:val="570D735E"/>
    <w:rsid w:val="57160908"/>
    <w:rsid w:val="571B7CCD"/>
    <w:rsid w:val="573B1D00"/>
    <w:rsid w:val="578A6C00"/>
    <w:rsid w:val="57A001D2"/>
    <w:rsid w:val="57FC3451"/>
    <w:rsid w:val="57FF139C"/>
    <w:rsid w:val="580C3AB9"/>
    <w:rsid w:val="587873A1"/>
    <w:rsid w:val="59141120"/>
    <w:rsid w:val="592210BE"/>
    <w:rsid w:val="5A101373"/>
    <w:rsid w:val="5A1E1882"/>
    <w:rsid w:val="5A6279C1"/>
    <w:rsid w:val="5A6C6A91"/>
    <w:rsid w:val="5AA11C28"/>
    <w:rsid w:val="5ABE74A5"/>
    <w:rsid w:val="5AC16DDD"/>
    <w:rsid w:val="5ADC3C17"/>
    <w:rsid w:val="5AE34FA5"/>
    <w:rsid w:val="5B150ED7"/>
    <w:rsid w:val="5BA81D4B"/>
    <w:rsid w:val="5BF8682E"/>
    <w:rsid w:val="5C5B0B6B"/>
    <w:rsid w:val="5CB32755"/>
    <w:rsid w:val="5CCC3817"/>
    <w:rsid w:val="5CEB0141"/>
    <w:rsid w:val="5D3F66DF"/>
    <w:rsid w:val="5DA14CA4"/>
    <w:rsid w:val="5DB669A1"/>
    <w:rsid w:val="5DB70023"/>
    <w:rsid w:val="5DD21301"/>
    <w:rsid w:val="5DE057CC"/>
    <w:rsid w:val="5DF07A52"/>
    <w:rsid w:val="5DF41277"/>
    <w:rsid w:val="5DFF2462"/>
    <w:rsid w:val="5E0019CA"/>
    <w:rsid w:val="5E007C1C"/>
    <w:rsid w:val="5E3B2A02"/>
    <w:rsid w:val="5E4E4E2C"/>
    <w:rsid w:val="5EB86749"/>
    <w:rsid w:val="5EBB1D95"/>
    <w:rsid w:val="5EE74938"/>
    <w:rsid w:val="5EEE5CC7"/>
    <w:rsid w:val="5EFD5F0A"/>
    <w:rsid w:val="5F313E05"/>
    <w:rsid w:val="5FA4009C"/>
    <w:rsid w:val="5FE64BF0"/>
    <w:rsid w:val="600A7D10"/>
    <w:rsid w:val="600C0AFA"/>
    <w:rsid w:val="600D5798"/>
    <w:rsid w:val="60261490"/>
    <w:rsid w:val="606049A2"/>
    <w:rsid w:val="60695F4D"/>
    <w:rsid w:val="606D5311"/>
    <w:rsid w:val="60830691"/>
    <w:rsid w:val="60CA62C0"/>
    <w:rsid w:val="60F5158E"/>
    <w:rsid w:val="61291238"/>
    <w:rsid w:val="616109D2"/>
    <w:rsid w:val="61811074"/>
    <w:rsid w:val="61BF3FDC"/>
    <w:rsid w:val="61CB22EF"/>
    <w:rsid w:val="61CE1DDF"/>
    <w:rsid w:val="620D46B6"/>
    <w:rsid w:val="62133014"/>
    <w:rsid w:val="624D0F56"/>
    <w:rsid w:val="624F4CCE"/>
    <w:rsid w:val="625B7B17"/>
    <w:rsid w:val="628250A4"/>
    <w:rsid w:val="62970423"/>
    <w:rsid w:val="62A568C5"/>
    <w:rsid w:val="632A1297"/>
    <w:rsid w:val="632F4E34"/>
    <w:rsid w:val="633309B1"/>
    <w:rsid w:val="63402869"/>
    <w:rsid w:val="636C365E"/>
    <w:rsid w:val="63825CAF"/>
    <w:rsid w:val="638C7DDC"/>
    <w:rsid w:val="63A21323"/>
    <w:rsid w:val="63A31776"/>
    <w:rsid w:val="63AE3C76"/>
    <w:rsid w:val="63E37DC4"/>
    <w:rsid w:val="640F60A7"/>
    <w:rsid w:val="6421269A"/>
    <w:rsid w:val="64322AF9"/>
    <w:rsid w:val="645547A2"/>
    <w:rsid w:val="64836EB1"/>
    <w:rsid w:val="64C73242"/>
    <w:rsid w:val="65143FAD"/>
    <w:rsid w:val="65393A14"/>
    <w:rsid w:val="654900FB"/>
    <w:rsid w:val="655B398A"/>
    <w:rsid w:val="656E190F"/>
    <w:rsid w:val="65757142"/>
    <w:rsid w:val="658C3AA5"/>
    <w:rsid w:val="658E5B0E"/>
    <w:rsid w:val="659155FE"/>
    <w:rsid w:val="65C9123C"/>
    <w:rsid w:val="66106E6A"/>
    <w:rsid w:val="6626682B"/>
    <w:rsid w:val="662E385A"/>
    <w:rsid w:val="663C37BC"/>
    <w:rsid w:val="668F7D8F"/>
    <w:rsid w:val="66C67529"/>
    <w:rsid w:val="66D734E4"/>
    <w:rsid w:val="67294FDA"/>
    <w:rsid w:val="672E57FA"/>
    <w:rsid w:val="67436872"/>
    <w:rsid w:val="67650AF0"/>
    <w:rsid w:val="678E0047"/>
    <w:rsid w:val="67A535E2"/>
    <w:rsid w:val="67B37AAD"/>
    <w:rsid w:val="681A18DB"/>
    <w:rsid w:val="681A7B2C"/>
    <w:rsid w:val="68487C65"/>
    <w:rsid w:val="684F3C7A"/>
    <w:rsid w:val="685D720A"/>
    <w:rsid w:val="688651C2"/>
    <w:rsid w:val="68F22857"/>
    <w:rsid w:val="691C3130"/>
    <w:rsid w:val="695D23C7"/>
    <w:rsid w:val="696D666C"/>
    <w:rsid w:val="69913E1E"/>
    <w:rsid w:val="69AE2C22"/>
    <w:rsid w:val="6A180A7C"/>
    <w:rsid w:val="6A334ED5"/>
    <w:rsid w:val="6A503CD9"/>
    <w:rsid w:val="6A55309E"/>
    <w:rsid w:val="6A5F56A7"/>
    <w:rsid w:val="6A8E65B0"/>
    <w:rsid w:val="6A933BC6"/>
    <w:rsid w:val="6AAD0439"/>
    <w:rsid w:val="6B0B7C00"/>
    <w:rsid w:val="6B231F0D"/>
    <w:rsid w:val="6B234F4A"/>
    <w:rsid w:val="6B2C6E0C"/>
    <w:rsid w:val="6B2D5DC9"/>
    <w:rsid w:val="6B623CC4"/>
    <w:rsid w:val="6B795F02"/>
    <w:rsid w:val="6B7E03D2"/>
    <w:rsid w:val="6BA8358E"/>
    <w:rsid w:val="6C007039"/>
    <w:rsid w:val="6C1825D5"/>
    <w:rsid w:val="6C465394"/>
    <w:rsid w:val="6C5E1B39"/>
    <w:rsid w:val="6C68355C"/>
    <w:rsid w:val="6C891725"/>
    <w:rsid w:val="6C9C3206"/>
    <w:rsid w:val="6CC369E5"/>
    <w:rsid w:val="6CC60283"/>
    <w:rsid w:val="6CD75FEC"/>
    <w:rsid w:val="6D0668D1"/>
    <w:rsid w:val="6D3276C6"/>
    <w:rsid w:val="6D7952F5"/>
    <w:rsid w:val="6D8C5028"/>
    <w:rsid w:val="6D9B2892"/>
    <w:rsid w:val="6DA02882"/>
    <w:rsid w:val="6DB97DE8"/>
    <w:rsid w:val="6E146DCC"/>
    <w:rsid w:val="6E52207F"/>
    <w:rsid w:val="6E5F1C3B"/>
    <w:rsid w:val="6E755ABD"/>
    <w:rsid w:val="6E91041D"/>
    <w:rsid w:val="6EB11150"/>
    <w:rsid w:val="6EC802E2"/>
    <w:rsid w:val="6ED00F45"/>
    <w:rsid w:val="6ED0363B"/>
    <w:rsid w:val="6F54601A"/>
    <w:rsid w:val="6F5C4E3D"/>
    <w:rsid w:val="6FAF14A2"/>
    <w:rsid w:val="6FE3114C"/>
    <w:rsid w:val="700C41FF"/>
    <w:rsid w:val="709366CE"/>
    <w:rsid w:val="70BD199D"/>
    <w:rsid w:val="70C16E74"/>
    <w:rsid w:val="70C711B6"/>
    <w:rsid w:val="70E231B1"/>
    <w:rsid w:val="71434565"/>
    <w:rsid w:val="714E0847"/>
    <w:rsid w:val="71704C61"/>
    <w:rsid w:val="717C1858"/>
    <w:rsid w:val="71EF5B86"/>
    <w:rsid w:val="71F17B50"/>
    <w:rsid w:val="720D24B0"/>
    <w:rsid w:val="72457E9C"/>
    <w:rsid w:val="729D3834"/>
    <w:rsid w:val="72A66B8C"/>
    <w:rsid w:val="72AC3A77"/>
    <w:rsid w:val="72B56DCF"/>
    <w:rsid w:val="72E94CCB"/>
    <w:rsid w:val="73441F01"/>
    <w:rsid w:val="73497518"/>
    <w:rsid w:val="73852C46"/>
    <w:rsid w:val="738D38A8"/>
    <w:rsid w:val="739C7C68"/>
    <w:rsid w:val="73B01345"/>
    <w:rsid w:val="73D9089C"/>
    <w:rsid w:val="741713C4"/>
    <w:rsid w:val="745562E8"/>
    <w:rsid w:val="749B3DA3"/>
    <w:rsid w:val="74DD260E"/>
    <w:rsid w:val="75B50E95"/>
    <w:rsid w:val="75D453ED"/>
    <w:rsid w:val="75F23F22"/>
    <w:rsid w:val="76034FB6"/>
    <w:rsid w:val="76263B40"/>
    <w:rsid w:val="762A7AD4"/>
    <w:rsid w:val="76AF3B36"/>
    <w:rsid w:val="76BD66D6"/>
    <w:rsid w:val="7746449A"/>
    <w:rsid w:val="77560455"/>
    <w:rsid w:val="77644920"/>
    <w:rsid w:val="776E39F1"/>
    <w:rsid w:val="77B84C6C"/>
    <w:rsid w:val="77BA437F"/>
    <w:rsid w:val="77D0645A"/>
    <w:rsid w:val="77FD2474"/>
    <w:rsid w:val="78016613"/>
    <w:rsid w:val="78085BF3"/>
    <w:rsid w:val="781F4CEB"/>
    <w:rsid w:val="784D3606"/>
    <w:rsid w:val="78713799"/>
    <w:rsid w:val="789C12CF"/>
    <w:rsid w:val="789F0AC8"/>
    <w:rsid w:val="78D635FC"/>
    <w:rsid w:val="79352A18"/>
    <w:rsid w:val="79450781"/>
    <w:rsid w:val="79702911"/>
    <w:rsid w:val="79980A8F"/>
    <w:rsid w:val="79DA536E"/>
    <w:rsid w:val="79E32474"/>
    <w:rsid w:val="79F04622"/>
    <w:rsid w:val="7A100D8F"/>
    <w:rsid w:val="7A195E96"/>
    <w:rsid w:val="7A2309C0"/>
    <w:rsid w:val="7A301431"/>
    <w:rsid w:val="7A392094"/>
    <w:rsid w:val="7A57076C"/>
    <w:rsid w:val="7A58275D"/>
    <w:rsid w:val="7A74131E"/>
    <w:rsid w:val="7AED10D1"/>
    <w:rsid w:val="7AF20495"/>
    <w:rsid w:val="7B4765DE"/>
    <w:rsid w:val="7B594F00"/>
    <w:rsid w:val="7B5A49B8"/>
    <w:rsid w:val="7B5A6766"/>
    <w:rsid w:val="7B95592B"/>
    <w:rsid w:val="7B9C6D7F"/>
    <w:rsid w:val="7BC63DFB"/>
    <w:rsid w:val="7C352D2F"/>
    <w:rsid w:val="7C490589"/>
    <w:rsid w:val="7C492337"/>
    <w:rsid w:val="7C495616"/>
    <w:rsid w:val="7C5C02BC"/>
    <w:rsid w:val="7C605FFE"/>
    <w:rsid w:val="7C896BD7"/>
    <w:rsid w:val="7C8B294F"/>
    <w:rsid w:val="7CA447C6"/>
    <w:rsid w:val="7CC83BA3"/>
    <w:rsid w:val="7CE16A13"/>
    <w:rsid w:val="7CED7166"/>
    <w:rsid w:val="7D33726F"/>
    <w:rsid w:val="7D366D5F"/>
    <w:rsid w:val="7D3905FD"/>
    <w:rsid w:val="7D6531A0"/>
    <w:rsid w:val="7D67516A"/>
    <w:rsid w:val="7D7F24B4"/>
    <w:rsid w:val="7DC51E91"/>
    <w:rsid w:val="7DD87E16"/>
    <w:rsid w:val="7DFD162B"/>
    <w:rsid w:val="7E1352F2"/>
    <w:rsid w:val="7EA645B7"/>
    <w:rsid w:val="7EF649F8"/>
    <w:rsid w:val="7F0B0898"/>
    <w:rsid w:val="7F211349"/>
    <w:rsid w:val="7F5C05D3"/>
    <w:rsid w:val="7F8E4C30"/>
    <w:rsid w:val="7F932247"/>
    <w:rsid w:val="7F9B559F"/>
    <w:rsid w:val="7FA501CC"/>
    <w:rsid w:val="7FB421BD"/>
    <w:rsid w:val="7FF64583"/>
    <w:rsid w:val="7FFF7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line="680" w:lineRule="exact"/>
      <w:jc w:val="center"/>
    </w:pPr>
    <w:rPr>
      <w:sz w:val="44"/>
    </w:rPr>
  </w:style>
  <w:style w:type="paragraph" w:styleId="4">
    <w:name w:val="table of authorities"/>
    <w:basedOn w:val="1"/>
    <w:next w:val="1"/>
    <w:autoRedefine/>
    <w:qFormat/>
    <w:uiPriority w:val="0"/>
    <w:pPr>
      <w:ind w:left="420" w:leftChars="200"/>
    </w:pPr>
  </w:style>
  <w:style w:type="paragraph" w:styleId="5">
    <w:name w:val="footer"/>
    <w:basedOn w:val="1"/>
    <w:link w:val="12"/>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customStyle="1" w:styleId="9">
    <w:name w:val="Default"/>
    <w:autoRedefine/>
    <w:qFormat/>
    <w:uiPriority w:val="0"/>
    <w:pPr>
      <w:widowControl w:val="0"/>
      <w:autoSpaceDE w:val="0"/>
      <w:autoSpaceDN w:val="0"/>
    </w:pPr>
    <w:rPr>
      <w:rFonts w:hint="eastAsia" w:ascii="仿宋_GB2312" w:hAnsi="仿宋_GB2312" w:eastAsia="仿宋_GB2312" w:cs="Times New Roman"/>
      <w:color w:val="000000"/>
      <w:sz w:val="24"/>
      <w:szCs w:val="22"/>
      <w:lang w:val="en-US" w:eastAsia="zh-CN" w:bidi="ar-SA"/>
    </w:rPr>
  </w:style>
  <w:style w:type="paragraph" w:customStyle="1" w:styleId="10">
    <w:name w:val="样式 小四 首行缩进:  0.85 厘米 行距: 固定值 22 磅"/>
    <w:basedOn w:val="1"/>
    <w:autoRedefine/>
    <w:qFormat/>
    <w:uiPriority w:val="0"/>
    <w:pPr>
      <w:spacing w:line="440" w:lineRule="exact"/>
      <w:ind w:firstLine="480"/>
    </w:pPr>
    <w:rPr>
      <w:sz w:val="24"/>
      <w:szCs w:val="20"/>
    </w:rPr>
  </w:style>
  <w:style w:type="character" w:customStyle="1" w:styleId="11">
    <w:name w:val="页眉 Char"/>
    <w:basedOn w:val="8"/>
    <w:link w:val="6"/>
    <w:autoRedefine/>
    <w:semiHidden/>
    <w:qFormat/>
    <w:uiPriority w:val="99"/>
    <w:rPr>
      <w:sz w:val="18"/>
      <w:szCs w:val="18"/>
    </w:rPr>
  </w:style>
  <w:style w:type="character" w:customStyle="1" w:styleId="12">
    <w:name w:val="页脚 Char"/>
    <w:basedOn w:val="8"/>
    <w:link w:val="5"/>
    <w:autoRedefine/>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933</Words>
  <Characters>1014</Characters>
  <Lines>9</Lines>
  <Paragraphs>2</Paragraphs>
  <TotalTime>0</TotalTime>
  <ScaleCrop>false</ScaleCrop>
  <LinksUpToDate>false</LinksUpToDate>
  <CharactersWithSpaces>1019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2017-10-23T14:50:00Z</dcterms:created>
  <dc:creator>PC</dc:creator>
  <cp:lastModifiedBy>y.</cp:lastModifiedBy>
  <cp:lastPrinted>2020-10-20T03:32:00Z</cp:lastPrinted>
  <dcterms:modified xsi:type="dcterms:W3CDTF">2025-06-26T02:53:48Z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9B5A342C2F6A4334B4D5140AEDCE882A</vt:lpwstr>
  </property>
  <property fmtid="{D5CDD505-2E9C-101B-9397-08002B2CF9AE}" pid="4" name="KSOTemplateDocerSaveRecord">
    <vt:lpwstr>eyJoZGlkIjoiNzAxMjIxNGUxODcyYThmMzZjNDAyODMxNDI5YmQ4YjciLCJ1c2VySWQiOiIzNTAwNjQ2MjQifQ==</vt:lpwstr>
  </property>
</Properties>
</file>