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FE62">
      <w:pPr>
        <w:jc w:val="distribute"/>
        <w:rPr>
          <w:rFonts w:ascii="宋体"/>
          <w:color w:val="auto"/>
          <w:sz w:val="44"/>
        </w:rPr>
      </w:pPr>
      <w:r>
        <w:rPr>
          <w:rFonts w:hint="eastAsia" w:ascii="宋体"/>
          <w:b/>
          <w:bCs/>
          <w:color w:val="auto"/>
          <w:sz w:val="44"/>
          <w:szCs w:val="44"/>
        </w:rPr>
        <w:t>贵州省黔南州政府采购</w:t>
      </w:r>
    </w:p>
    <w:p w14:paraId="69ACEDE6">
      <w:pPr>
        <w:spacing w:line="600" w:lineRule="exact"/>
        <w:jc w:val="center"/>
        <w:rPr>
          <w:rFonts w:hint="eastAsia" w:ascii="宋体" w:hAnsi="宋体"/>
          <w:color w:val="auto"/>
          <w:sz w:val="44"/>
        </w:rPr>
      </w:pPr>
    </w:p>
    <w:p w14:paraId="64B0B5DC">
      <w:pPr>
        <w:spacing w:line="600" w:lineRule="exact"/>
        <w:jc w:val="center"/>
        <w:rPr>
          <w:rFonts w:hint="eastAsia" w:ascii="宋体" w:hAnsi="宋体"/>
          <w:color w:val="auto"/>
          <w:sz w:val="44"/>
        </w:rPr>
      </w:pPr>
    </w:p>
    <w:p w14:paraId="06DEC784">
      <w:pPr>
        <w:ind w:firstLine="1321" w:firstLineChars="299"/>
        <w:rPr>
          <w:rFonts w:hint="eastAsia" w:ascii="宋体" w:hAnsi="宋体"/>
          <w:b/>
          <w:bCs/>
          <w:color w:val="auto"/>
          <w:sz w:val="44"/>
        </w:rPr>
      </w:pPr>
      <w:r>
        <w:rPr>
          <w:rFonts w:hint="eastAsia" w:ascii="宋体" w:hAnsi="宋体"/>
          <w:b/>
          <w:bCs/>
          <w:color w:val="auto"/>
          <w:sz w:val="44"/>
        </w:rPr>
        <w:t xml:space="preserve">               </w:t>
      </w:r>
    </w:p>
    <w:p w14:paraId="4CFC8E14">
      <w:pPr>
        <w:jc w:val="center"/>
        <w:rPr>
          <w:rFonts w:hint="eastAsia" w:ascii="宋体" w:hAnsi="宋体"/>
          <w:b/>
          <w:color w:val="auto"/>
          <w:sz w:val="84"/>
        </w:rPr>
      </w:pPr>
    </w:p>
    <w:p w14:paraId="4381A943">
      <w:pPr>
        <w:jc w:val="center"/>
        <w:rPr>
          <w:rFonts w:hint="eastAsia" w:ascii="宋体" w:hAnsi="宋体"/>
          <w:b/>
          <w:color w:val="auto"/>
          <w:sz w:val="84"/>
        </w:rPr>
      </w:pPr>
      <w:r>
        <w:rPr>
          <w:rFonts w:hint="eastAsia" w:ascii="宋体" w:hAnsi="宋体"/>
          <w:b/>
          <w:color w:val="auto"/>
          <w:sz w:val="84"/>
        </w:rPr>
        <w:t>采购需求公示</w:t>
      </w:r>
    </w:p>
    <w:p w14:paraId="4348FEC6">
      <w:pPr>
        <w:rPr>
          <w:rFonts w:hint="eastAsia" w:ascii="宋体" w:hAnsi="宋体"/>
          <w:color w:val="auto"/>
        </w:rPr>
      </w:pPr>
    </w:p>
    <w:p w14:paraId="58EEEBF7">
      <w:pPr>
        <w:rPr>
          <w:rFonts w:hint="eastAsia" w:ascii="宋体" w:hAnsi="宋体"/>
          <w:color w:val="auto"/>
        </w:rPr>
      </w:pPr>
    </w:p>
    <w:p w14:paraId="1D42D432">
      <w:pPr>
        <w:rPr>
          <w:rFonts w:hint="eastAsia" w:ascii="宋体" w:hAnsi="宋体"/>
          <w:color w:val="auto"/>
        </w:rPr>
      </w:pPr>
    </w:p>
    <w:p w14:paraId="062A892E">
      <w:pPr>
        <w:rPr>
          <w:rFonts w:hint="eastAsia" w:ascii="宋体" w:hAnsi="宋体"/>
          <w:color w:val="auto"/>
        </w:rPr>
      </w:pPr>
    </w:p>
    <w:p w14:paraId="6DE21CC6">
      <w:pPr>
        <w:rPr>
          <w:rFonts w:hint="eastAsia" w:ascii="宋体" w:hAnsi="宋体"/>
          <w:color w:val="auto"/>
        </w:rPr>
      </w:pPr>
    </w:p>
    <w:p w14:paraId="36253318">
      <w:pPr>
        <w:rPr>
          <w:rFonts w:hint="eastAsia" w:ascii="宋体" w:hAnsi="宋体"/>
          <w:color w:val="auto"/>
        </w:rPr>
      </w:pPr>
    </w:p>
    <w:p w14:paraId="09BAD7E0">
      <w:pPr>
        <w:ind w:left="17" w:leftChars="8"/>
        <w:jc w:val="center"/>
        <w:rPr>
          <w:rFonts w:hint="eastAsia" w:ascii="宋体" w:hAnsi="宋体" w:eastAsia="宋体"/>
          <w:b/>
          <w:color w:val="auto"/>
          <w:sz w:val="30"/>
          <w:szCs w:val="30"/>
          <w:lang w:eastAsia="zh-CN"/>
        </w:rPr>
      </w:pPr>
      <w:r>
        <w:rPr>
          <w:rFonts w:hint="eastAsia" w:ascii="宋体" w:hAnsi="宋体"/>
          <w:b/>
          <w:color w:val="auto"/>
          <w:sz w:val="30"/>
          <w:szCs w:val="30"/>
        </w:rPr>
        <w:t>项目名称：</w:t>
      </w:r>
      <w:r>
        <w:rPr>
          <w:rFonts w:hint="eastAsia" w:ascii="宋体" w:hAnsi="宋体"/>
          <w:b/>
          <w:color w:val="auto"/>
          <w:sz w:val="30"/>
          <w:szCs w:val="30"/>
          <w:lang w:eastAsia="zh-CN"/>
        </w:rPr>
        <w:t>黔南中院灾备扩容项目</w:t>
      </w:r>
    </w:p>
    <w:p w14:paraId="4CB9C73D">
      <w:pPr>
        <w:ind w:left="17" w:leftChars="8"/>
        <w:jc w:val="center"/>
        <w:rPr>
          <w:rFonts w:hint="eastAsia" w:ascii="宋体" w:hAnsi="宋体" w:eastAsia="宋体"/>
          <w:b/>
          <w:color w:val="auto"/>
          <w:sz w:val="32"/>
          <w:lang w:eastAsia="zh-CN"/>
        </w:rPr>
      </w:pPr>
      <w:r>
        <w:rPr>
          <w:rFonts w:hint="eastAsia" w:ascii="宋体" w:hAnsi="宋体"/>
          <w:b/>
          <w:color w:val="auto"/>
          <w:sz w:val="32"/>
        </w:rPr>
        <w:t>招标编号：</w:t>
      </w:r>
      <w:r>
        <w:rPr>
          <w:rFonts w:hint="eastAsia" w:ascii="宋体" w:hAnsi="宋体"/>
          <w:b/>
          <w:color w:val="auto"/>
          <w:sz w:val="32"/>
          <w:lang w:eastAsia="zh-CN"/>
        </w:rPr>
        <w:t>QN</w:t>
      </w:r>
      <w:r>
        <w:rPr>
          <w:rFonts w:hint="eastAsia" w:ascii="宋体" w:hAnsi="宋体"/>
          <w:b/>
          <w:color w:val="auto"/>
          <w:sz w:val="32"/>
          <w:lang w:val="en-US" w:eastAsia="zh-CN"/>
        </w:rPr>
        <w:t>SX</w:t>
      </w:r>
      <w:r>
        <w:rPr>
          <w:rFonts w:hint="eastAsia" w:ascii="宋体" w:hAnsi="宋体"/>
          <w:b/>
          <w:color w:val="auto"/>
          <w:sz w:val="32"/>
          <w:lang w:eastAsia="zh-CN"/>
        </w:rPr>
        <w:t>-202</w:t>
      </w:r>
      <w:r>
        <w:rPr>
          <w:rFonts w:hint="eastAsia" w:ascii="宋体" w:hAnsi="宋体"/>
          <w:b/>
          <w:color w:val="auto"/>
          <w:sz w:val="32"/>
          <w:lang w:val="en-US" w:eastAsia="zh-CN"/>
        </w:rPr>
        <w:t>5</w:t>
      </w:r>
      <w:r>
        <w:rPr>
          <w:rFonts w:hint="eastAsia" w:ascii="宋体" w:hAnsi="宋体"/>
          <w:b/>
          <w:color w:val="auto"/>
          <w:sz w:val="32"/>
          <w:lang w:eastAsia="zh-CN"/>
        </w:rPr>
        <w:t>-</w:t>
      </w:r>
      <w:r>
        <w:rPr>
          <w:rFonts w:hint="eastAsia" w:ascii="宋体" w:hAnsi="宋体"/>
          <w:b/>
          <w:color w:val="auto"/>
          <w:sz w:val="32"/>
          <w:lang w:val="en-US" w:eastAsia="zh-CN"/>
        </w:rPr>
        <w:t>C011</w:t>
      </w:r>
      <w:r>
        <w:rPr>
          <w:rFonts w:hint="eastAsia" w:ascii="宋体" w:hAnsi="宋体"/>
          <w:b/>
          <w:color w:val="auto"/>
          <w:sz w:val="32"/>
          <w:lang w:eastAsia="zh-CN"/>
        </w:rPr>
        <w:t>号</w:t>
      </w:r>
    </w:p>
    <w:p w14:paraId="2998F049">
      <w:pPr>
        <w:rPr>
          <w:rFonts w:hint="eastAsia" w:ascii="宋体" w:hAnsi="宋体"/>
          <w:b/>
          <w:color w:val="auto"/>
        </w:rPr>
      </w:pPr>
    </w:p>
    <w:p w14:paraId="491F0342">
      <w:pPr>
        <w:rPr>
          <w:rFonts w:hint="eastAsia" w:ascii="宋体" w:hAnsi="宋体"/>
          <w:b/>
          <w:color w:val="auto"/>
        </w:rPr>
      </w:pPr>
    </w:p>
    <w:p w14:paraId="79BB219A">
      <w:pPr>
        <w:tabs>
          <w:tab w:val="left" w:pos="4870"/>
        </w:tabs>
        <w:rPr>
          <w:rFonts w:hint="eastAsia" w:ascii="宋体" w:hAnsi="宋体"/>
          <w:b/>
          <w:color w:val="auto"/>
        </w:rPr>
      </w:pPr>
      <w:r>
        <w:rPr>
          <w:rFonts w:ascii="宋体" w:hAnsi="宋体"/>
          <w:b/>
          <w:color w:val="auto"/>
        </w:rPr>
        <w:tab/>
      </w:r>
    </w:p>
    <w:p w14:paraId="2D4C6421">
      <w:pPr>
        <w:rPr>
          <w:rFonts w:hint="eastAsia" w:ascii="宋体" w:hAnsi="宋体"/>
          <w:b/>
          <w:color w:val="auto"/>
        </w:rPr>
      </w:pPr>
    </w:p>
    <w:p w14:paraId="566587E0">
      <w:pPr>
        <w:rPr>
          <w:rFonts w:hint="eastAsia" w:ascii="宋体" w:hAnsi="宋体"/>
          <w:b/>
          <w:color w:val="auto"/>
        </w:rPr>
      </w:pPr>
    </w:p>
    <w:p w14:paraId="3736A4C5">
      <w:pPr>
        <w:rPr>
          <w:rFonts w:hint="eastAsia" w:ascii="宋体" w:hAnsi="宋体"/>
          <w:b/>
          <w:color w:val="auto"/>
        </w:rPr>
      </w:pPr>
    </w:p>
    <w:p w14:paraId="164E2DD2">
      <w:pPr>
        <w:rPr>
          <w:rFonts w:hint="eastAsia" w:ascii="宋体" w:hAnsi="宋体"/>
          <w:b/>
          <w:color w:val="auto"/>
        </w:rPr>
      </w:pPr>
    </w:p>
    <w:p w14:paraId="08C390A4">
      <w:pPr>
        <w:rPr>
          <w:rFonts w:hint="eastAsia" w:ascii="宋体" w:hAnsi="宋体"/>
          <w:b/>
          <w:color w:val="auto"/>
        </w:rPr>
      </w:pPr>
    </w:p>
    <w:p w14:paraId="370ABD03">
      <w:pPr>
        <w:jc w:val="center"/>
        <w:rPr>
          <w:rFonts w:hint="eastAsia" w:ascii="宋体" w:hAnsi="宋体"/>
          <w:b/>
          <w:color w:val="auto"/>
          <w:sz w:val="32"/>
          <w:szCs w:val="32"/>
        </w:rPr>
      </w:pPr>
      <w:r>
        <w:rPr>
          <w:rFonts w:hint="eastAsia" w:ascii="宋体" w:hAnsi="宋体"/>
          <w:b/>
          <w:color w:val="auto"/>
          <w:sz w:val="32"/>
          <w:szCs w:val="32"/>
        </w:rPr>
        <w:t>采购单位：</w:t>
      </w:r>
      <w:r>
        <w:rPr>
          <w:rFonts w:hint="eastAsia" w:ascii="宋体" w:hAnsi="宋体"/>
          <w:b/>
          <w:color w:val="auto"/>
          <w:sz w:val="32"/>
          <w:szCs w:val="32"/>
          <w:lang w:eastAsia="zh-CN"/>
        </w:rPr>
        <w:t>贵州省黔南布依族苗族自治州中级人民法院</w:t>
      </w:r>
    </w:p>
    <w:p w14:paraId="1CB7D119">
      <w:pPr>
        <w:jc w:val="center"/>
        <w:rPr>
          <w:rFonts w:hint="eastAsia" w:ascii="宋体" w:hAnsi="宋体"/>
          <w:b/>
          <w:color w:val="auto"/>
          <w:sz w:val="32"/>
          <w:szCs w:val="32"/>
        </w:rPr>
      </w:pPr>
      <w:r>
        <w:rPr>
          <w:rFonts w:hint="eastAsia" w:ascii="宋体" w:hAnsi="宋体"/>
          <w:b/>
          <w:color w:val="auto"/>
          <w:sz w:val="32"/>
          <w:szCs w:val="32"/>
        </w:rPr>
        <w:t>招标代理单位：黔南州</w:t>
      </w:r>
      <w:r>
        <w:rPr>
          <w:rFonts w:hint="eastAsia" w:ascii="宋体" w:hAnsi="宋体"/>
          <w:b/>
          <w:color w:val="auto"/>
          <w:sz w:val="32"/>
          <w:szCs w:val="32"/>
          <w:lang w:eastAsia="zh-CN"/>
        </w:rPr>
        <w:t>胜歆</w:t>
      </w:r>
      <w:r>
        <w:rPr>
          <w:rFonts w:hint="eastAsia" w:ascii="宋体" w:hAnsi="宋体"/>
          <w:b/>
          <w:color w:val="auto"/>
          <w:sz w:val="32"/>
          <w:szCs w:val="32"/>
        </w:rPr>
        <w:t>招标有限公司</w:t>
      </w:r>
    </w:p>
    <w:p w14:paraId="15E63764">
      <w:pPr>
        <w:pStyle w:val="5"/>
        <w:ind w:leftChars="0"/>
        <w:jc w:val="both"/>
        <w:rPr>
          <w:rFonts w:hint="eastAsia" w:ascii="宋体" w:hAnsi="宋体" w:eastAsia="宋体"/>
          <w:bCs w:val="0"/>
          <w:color w:val="auto"/>
          <w:sz w:val="32"/>
          <w:szCs w:val="32"/>
        </w:rPr>
      </w:pPr>
    </w:p>
    <w:p w14:paraId="00DA8531">
      <w:pPr>
        <w:rPr>
          <w:rFonts w:hint="eastAsia"/>
          <w:color w:val="auto"/>
        </w:rPr>
      </w:pPr>
    </w:p>
    <w:p w14:paraId="3A2446DD">
      <w:pPr>
        <w:pStyle w:val="5"/>
        <w:ind w:leftChars="0"/>
        <w:jc w:val="center"/>
        <w:rPr>
          <w:rFonts w:hint="eastAsia" w:ascii="宋体" w:hAnsi="宋体" w:eastAsia="宋体"/>
          <w:bCs w:val="0"/>
          <w:color w:val="auto"/>
          <w:sz w:val="32"/>
          <w:szCs w:val="32"/>
        </w:rPr>
      </w:pPr>
      <w:r>
        <w:rPr>
          <w:rFonts w:hint="eastAsia" w:ascii="宋体" w:hAnsi="宋体" w:eastAsia="宋体"/>
          <w:bCs w:val="0"/>
          <w:color w:val="auto"/>
          <w:sz w:val="32"/>
          <w:szCs w:val="32"/>
        </w:rPr>
        <w:t>二</w:t>
      </w:r>
      <w:r>
        <w:rPr>
          <w:rFonts w:hint="eastAsia" w:ascii="宋体" w:hAnsi="宋体" w:eastAsia="宋体" w:cs="宋体"/>
          <w:bCs w:val="0"/>
          <w:color w:val="auto"/>
          <w:sz w:val="32"/>
          <w:szCs w:val="32"/>
        </w:rPr>
        <w:t>〇</w:t>
      </w:r>
      <w:r>
        <w:rPr>
          <w:rFonts w:hint="eastAsia" w:ascii="宋体" w:hAnsi="宋体" w:eastAsia="宋体"/>
          <w:color w:val="auto"/>
          <w:sz w:val="32"/>
          <w:szCs w:val="32"/>
        </w:rPr>
        <w:t>二</w:t>
      </w:r>
      <w:r>
        <w:rPr>
          <w:rFonts w:hint="eastAsia" w:ascii="宋体" w:hAnsi="宋体" w:eastAsia="宋体" w:cs="宋体"/>
          <w:color w:val="auto"/>
          <w:sz w:val="32"/>
          <w:szCs w:val="32"/>
          <w:lang w:val="en-US" w:eastAsia="zh-CN"/>
        </w:rPr>
        <w:t>五</w:t>
      </w:r>
      <w:r>
        <w:rPr>
          <w:rFonts w:hint="eastAsia" w:ascii="宋体" w:hAnsi="宋体" w:eastAsia="宋体" w:cs="仿宋_GB2312"/>
          <w:bCs w:val="0"/>
          <w:color w:val="auto"/>
          <w:sz w:val="32"/>
          <w:szCs w:val="32"/>
        </w:rPr>
        <w:t>年</w:t>
      </w:r>
      <w:r>
        <w:rPr>
          <w:rFonts w:hint="eastAsia" w:ascii="宋体" w:hAnsi="宋体" w:eastAsia="宋体" w:cs="仿宋_GB2312"/>
          <w:bCs w:val="0"/>
          <w:color w:val="auto"/>
          <w:sz w:val="32"/>
          <w:szCs w:val="32"/>
          <w:lang w:val="en-US" w:eastAsia="zh-CN"/>
        </w:rPr>
        <w:t>七</w:t>
      </w:r>
      <w:r>
        <w:rPr>
          <w:rFonts w:hint="eastAsia" w:ascii="宋体" w:hAnsi="宋体" w:eastAsia="宋体" w:cs="仿宋_GB2312"/>
          <w:bCs w:val="0"/>
          <w:color w:val="auto"/>
          <w:sz w:val="32"/>
          <w:szCs w:val="32"/>
        </w:rPr>
        <w:t>月</w:t>
      </w:r>
    </w:p>
    <w:p w14:paraId="703CE3FD">
      <w:pPr>
        <w:rPr>
          <w:color w:val="auto"/>
        </w:rPr>
      </w:pPr>
    </w:p>
    <w:p w14:paraId="7006FF81">
      <w:pPr>
        <w:widowControl/>
        <w:spacing w:line="560" w:lineRule="exact"/>
        <w:rPr>
          <w:rFonts w:hint="eastAsia" w:ascii="宋体" w:cs="宋体"/>
          <w:b/>
          <w:bCs/>
          <w:color w:val="auto"/>
          <w:sz w:val="30"/>
          <w:szCs w:val="30"/>
        </w:rPr>
        <w:sectPr>
          <w:pgSz w:w="11906" w:h="16838"/>
          <w:pgMar w:top="1440" w:right="866" w:bottom="1440" w:left="1800" w:header="851" w:footer="992" w:gutter="0"/>
          <w:pgNumType w:fmt="decimal" w:start="1"/>
          <w:cols w:space="720" w:num="1"/>
          <w:docGrid w:type="lines" w:linePitch="312" w:charSpace="0"/>
        </w:sectPr>
      </w:pPr>
    </w:p>
    <w:p w14:paraId="26810CC8">
      <w:pPr>
        <w:widowControl/>
        <w:spacing w:line="560" w:lineRule="exact"/>
        <w:rPr>
          <w:rFonts w:hint="eastAsia" w:ascii="宋体" w:cs="宋体"/>
          <w:b/>
          <w:bCs/>
          <w:color w:val="auto"/>
          <w:sz w:val="30"/>
          <w:szCs w:val="30"/>
        </w:rPr>
      </w:pPr>
      <w:r>
        <w:rPr>
          <w:rFonts w:hint="eastAsia" w:ascii="宋体" w:cs="宋体"/>
          <w:b/>
          <w:bCs/>
          <w:color w:val="auto"/>
          <w:sz w:val="30"/>
          <w:szCs w:val="30"/>
        </w:rPr>
        <w:t>一、投标供应商资格条件:</w:t>
      </w:r>
    </w:p>
    <w:p w14:paraId="541F949E">
      <w:pPr>
        <w:widowControl/>
        <w:spacing w:line="560" w:lineRule="exact"/>
        <w:ind w:firstLine="480" w:firstLineChars="200"/>
        <w:rPr>
          <w:rFonts w:ascii="宋体" w:cs="宋体"/>
          <w:color w:val="auto"/>
          <w:sz w:val="24"/>
        </w:rPr>
      </w:pPr>
      <w:r>
        <w:rPr>
          <w:rFonts w:ascii="宋体" w:cs="宋体"/>
          <w:color w:val="auto"/>
          <w:sz w:val="24"/>
        </w:rPr>
        <w:t xml:space="preserve"> 1.符合《中华人民共和国政府采购法》第二十二条及《中华人民共和国政府采购法实施条例》第十七条之规定： </w:t>
      </w:r>
    </w:p>
    <w:p w14:paraId="341D39E2">
      <w:pPr>
        <w:widowControl/>
        <w:spacing w:line="560" w:lineRule="exact"/>
        <w:ind w:firstLine="480" w:firstLineChars="200"/>
        <w:rPr>
          <w:rFonts w:hint="eastAsia" w:ascii="宋体" w:cs="宋体"/>
          <w:color w:val="auto"/>
          <w:sz w:val="24"/>
          <w:u w:val="single"/>
        </w:rPr>
      </w:pPr>
      <w:r>
        <w:rPr>
          <w:rFonts w:hint="eastAsia" w:ascii="宋体" w:cs="宋体"/>
          <w:color w:val="auto"/>
          <w:sz w:val="24"/>
        </w:rPr>
        <w:t>①具有独立承担民事责任的能力：</w:t>
      </w:r>
      <w:r>
        <w:rPr>
          <w:rFonts w:hint="eastAsia" w:ascii="宋体" w:cs="宋体"/>
          <w:color w:val="auto"/>
          <w:sz w:val="24"/>
          <w:u w:val="single"/>
        </w:rPr>
        <w:t>提供有效的加载“统一社会信用代码”的营业执照（或事业单位法人登记证书）；</w:t>
      </w:r>
    </w:p>
    <w:p w14:paraId="2ADDDD7A">
      <w:pPr>
        <w:widowControl/>
        <w:spacing w:line="560" w:lineRule="exact"/>
        <w:ind w:firstLine="480" w:firstLineChars="200"/>
        <w:rPr>
          <w:rFonts w:hint="eastAsia" w:ascii="宋体" w:eastAsia="宋体" w:cs="宋体"/>
          <w:color w:val="auto"/>
          <w:sz w:val="24"/>
          <w:u w:val="single"/>
          <w:lang w:eastAsia="zh-CN"/>
        </w:rPr>
      </w:pPr>
      <w:r>
        <w:rPr>
          <w:rFonts w:hint="eastAsia" w:ascii="宋体" w:cs="宋体"/>
          <w:color w:val="auto"/>
          <w:sz w:val="24"/>
        </w:rPr>
        <w:t>②具有良好的商业信誉和健全的财务会计制度：</w:t>
      </w:r>
      <w:r>
        <w:rPr>
          <w:rFonts w:hint="eastAsia" w:ascii="宋体" w:cs="宋体"/>
          <w:color w:val="auto"/>
          <w:sz w:val="24"/>
          <w:u w:val="single"/>
          <w:lang w:val="zh-CN"/>
        </w:rPr>
        <w:t>提供</w:t>
      </w:r>
      <w:r>
        <w:rPr>
          <w:rFonts w:hint="eastAsia" w:ascii="宋体" w:cs="宋体"/>
          <w:color w:val="auto"/>
          <w:sz w:val="24"/>
          <w:u w:val="single"/>
          <w:lang w:val="en-US" w:eastAsia="zh-CN"/>
        </w:rPr>
        <w:t>2024年度</w:t>
      </w:r>
      <w:r>
        <w:rPr>
          <w:rFonts w:hint="eastAsia" w:ascii="宋体" w:cs="宋体"/>
          <w:color w:val="auto"/>
          <w:sz w:val="24"/>
          <w:u w:val="single"/>
          <w:lang w:val="zh-CN"/>
        </w:rPr>
        <w:t>经合法有效的第三方会计师事务机构审计的财务报告（包括“四表一注”）或其自发布采购公告之日以后、由基本开户银行出具的资信证明；</w:t>
      </w:r>
    </w:p>
    <w:p w14:paraId="3375725B">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cs="宋体"/>
          <w:color w:val="auto"/>
          <w:sz w:val="24"/>
          <w:u w:val="single"/>
        </w:rPr>
      </w:pPr>
      <w:r>
        <w:rPr>
          <w:rFonts w:hint="eastAsia" w:ascii="宋体" w:cs="宋体"/>
          <w:color w:val="auto"/>
          <w:sz w:val="24"/>
          <w:u w:val="single"/>
        </w:rPr>
        <w:t>③</w:t>
      </w:r>
      <w:r>
        <w:rPr>
          <w:rFonts w:hint="eastAsia" w:ascii="宋体" w:cs="宋体"/>
          <w:color w:val="auto"/>
          <w:sz w:val="24"/>
          <w:u w:val="none"/>
        </w:rPr>
        <w:t>具有履行合同所必须的设备和专业技术能力：</w:t>
      </w:r>
      <w:r>
        <w:rPr>
          <w:rFonts w:hint="eastAsia" w:ascii="宋体" w:cs="宋体"/>
          <w:color w:val="auto"/>
          <w:sz w:val="24"/>
          <w:u w:val="single"/>
        </w:rPr>
        <w:t>提供承诺书</w:t>
      </w:r>
      <w:r>
        <w:rPr>
          <w:rFonts w:hint="eastAsia" w:ascii="宋体" w:hAnsi="宋体" w:eastAsia="宋体" w:cs="宋体"/>
          <w:color w:val="auto"/>
          <w:sz w:val="24"/>
          <w:szCs w:val="24"/>
          <w:highlight w:val="none"/>
          <w:u w:val="single"/>
          <w:lang w:val="en-US" w:eastAsia="zh-CN"/>
        </w:rPr>
        <w:t>。</w:t>
      </w:r>
    </w:p>
    <w:p w14:paraId="570165B8">
      <w:pPr>
        <w:widowControl/>
        <w:spacing w:line="560" w:lineRule="exact"/>
        <w:ind w:firstLine="480" w:firstLineChars="200"/>
        <w:rPr>
          <w:rFonts w:hint="eastAsia" w:ascii="宋体" w:cs="宋体"/>
          <w:color w:val="auto"/>
          <w:sz w:val="24"/>
          <w:u w:val="single"/>
        </w:rPr>
      </w:pPr>
      <w:r>
        <w:rPr>
          <w:rFonts w:hint="eastAsia" w:ascii="宋体" w:cs="宋体"/>
          <w:color w:val="auto"/>
          <w:sz w:val="24"/>
        </w:rPr>
        <w:t>④有依法缴纳税收和社会保障资金的良好记录：</w:t>
      </w:r>
      <w:r>
        <w:rPr>
          <w:rFonts w:hint="eastAsia" w:ascii="宋体" w:cs="宋体"/>
          <w:color w:val="auto"/>
          <w:kern w:val="0"/>
          <w:sz w:val="24"/>
          <w:u w:val="single"/>
          <w:lang w:val="zh-CN" w:eastAsia="zh-CN" w:bidi="ar-SA"/>
        </w:rPr>
        <w:t>提供</w:t>
      </w:r>
      <w:r>
        <w:rPr>
          <w:rFonts w:hint="eastAsia" w:ascii="宋体" w:cs="宋体"/>
          <w:color w:val="auto"/>
          <w:kern w:val="0"/>
          <w:sz w:val="24"/>
          <w:u w:val="single"/>
          <w:lang w:val="en-US" w:eastAsia="zh-CN" w:bidi="ar-SA"/>
        </w:rPr>
        <w:t>2025年01月至今任意1</w:t>
      </w:r>
      <w:r>
        <w:rPr>
          <w:rFonts w:hint="eastAsia" w:ascii="宋体" w:cs="宋体"/>
          <w:color w:val="auto"/>
          <w:kern w:val="0"/>
          <w:sz w:val="24"/>
          <w:u w:val="single"/>
          <w:lang w:val="zh-CN" w:eastAsia="zh-CN" w:bidi="ar-SA"/>
        </w:rPr>
        <w:t>个月的缴纳税收和社会保障资金的相关材料，成立不足</w:t>
      </w:r>
      <w:r>
        <w:rPr>
          <w:rFonts w:hint="eastAsia" w:ascii="宋体" w:cs="宋体"/>
          <w:color w:val="auto"/>
          <w:kern w:val="0"/>
          <w:sz w:val="24"/>
          <w:u w:val="single"/>
          <w:lang w:val="en-US" w:eastAsia="zh-CN" w:bidi="ar-SA"/>
        </w:rPr>
        <w:t>1</w:t>
      </w:r>
      <w:r>
        <w:rPr>
          <w:rFonts w:hint="eastAsia" w:ascii="宋体" w:cs="宋体"/>
          <w:color w:val="auto"/>
          <w:kern w:val="0"/>
          <w:sz w:val="24"/>
          <w:u w:val="single"/>
          <w:lang w:val="zh-CN" w:eastAsia="zh-CN" w:bidi="ar-SA"/>
        </w:rPr>
        <w:t>个月的投标人提供承诺函；依法免税或不需要缴纳社会保障资金的供应商，应提供相应文件证明其依法免税或不需要缴纳社会保障资金；</w:t>
      </w:r>
    </w:p>
    <w:p w14:paraId="4A38E488">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cs="宋体"/>
          <w:color w:val="auto"/>
          <w:sz w:val="24"/>
        </w:rPr>
      </w:pPr>
      <w:r>
        <w:rPr>
          <w:rFonts w:hint="eastAsia" w:ascii="宋体" w:cs="宋体"/>
          <w:color w:val="auto"/>
          <w:sz w:val="24"/>
        </w:rPr>
        <w:t>⑤参加政府采购活动前三年内，在经营活动中没有重大违法记录及法律、行政法规规定的其他条件：</w:t>
      </w:r>
      <w:r>
        <w:rPr>
          <w:rFonts w:hint="eastAsia" w:ascii="宋体" w:cs="宋体"/>
          <w:color w:val="auto"/>
          <w:sz w:val="24"/>
          <w:u w:val="single"/>
        </w:rPr>
        <w:t>提供《守法经营声明书》</w:t>
      </w:r>
      <w:r>
        <w:rPr>
          <w:rFonts w:hint="eastAsia" w:ascii="宋体" w:hAnsi="宋体" w:eastAsia="宋体" w:cs="宋体"/>
          <w:color w:val="auto"/>
          <w:sz w:val="24"/>
          <w:szCs w:val="24"/>
          <w:highlight w:val="none"/>
          <w:lang w:val="zh-CN" w:eastAsia="zh-CN"/>
        </w:rPr>
        <w:t>。</w:t>
      </w:r>
    </w:p>
    <w:p w14:paraId="5C207EDE">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eastAsia="宋体" w:cs="宋体"/>
          <w:color w:val="auto"/>
          <w:sz w:val="24"/>
          <w:lang w:eastAsia="zh-CN"/>
        </w:rPr>
        <w:t>⑥</w:t>
      </w:r>
      <w:r>
        <w:rPr>
          <w:rFonts w:hint="eastAsia" w:ascii="宋体" w:hAnsi="宋体" w:eastAsia="宋体" w:cs="宋体"/>
          <w:color w:val="auto"/>
          <w:sz w:val="24"/>
          <w:szCs w:val="24"/>
          <w:highlight w:val="none"/>
          <w:lang w:val="zh-CN" w:eastAsia="zh-CN"/>
        </w:rPr>
        <w:t>本项目不接受联合体投标：</w:t>
      </w:r>
      <w:r>
        <w:rPr>
          <w:rFonts w:hint="eastAsia" w:ascii="宋体" w:hAnsi="宋体" w:eastAsia="宋体" w:cs="宋体"/>
          <w:color w:val="auto"/>
          <w:sz w:val="24"/>
          <w:szCs w:val="24"/>
          <w:highlight w:val="none"/>
          <w:u w:val="single"/>
          <w:lang w:val="en-US" w:eastAsia="zh-CN"/>
        </w:rPr>
        <w:t>提供本项目非联合体投标承诺函</w:t>
      </w:r>
      <w:r>
        <w:rPr>
          <w:rFonts w:hint="eastAsia" w:ascii="宋体" w:hAnsi="宋体" w:eastAsia="宋体" w:cs="宋体"/>
          <w:color w:val="auto"/>
          <w:sz w:val="24"/>
          <w:szCs w:val="24"/>
          <w:highlight w:val="none"/>
          <w:u w:val="single"/>
          <w:lang w:val="zh-CN" w:eastAsia="zh-CN"/>
        </w:rPr>
        <w:t>。</w:t>
      </w:r>
    </w:p>
    <w:p w14:paraId="3B6848CD">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未被“信用中国”网站（www.creditchina.gov.cn）列入“记录失信被执行人”、“重大税收违法案件当事人名单”、“政府采购严重违法失信行为”中任意一项或多项记录名单；同时，供应商未处于中国政府采购网(www.ccgp.gov.cn)“政府采购严重违法失信行为信息记录”中的禁止参加政府采购活动期间。【供应商于采购公告发出时间至投标文件提交截止时间止任意时间节点，</w:t>
      </w:r>
      <w:r>
        <w:rPr>
          <w:rFonts w:hint="eastAsia" w:ascii="宋体" w:hAnsi="宋体" w:eastAsia="宋体" w:cs="宋体"/>
          <w:b/>
          <w:bCs/>
          <w:color w:val="auto"/>
          <w:sz w:val="24"/>
          <w:szCs w:val="24"/>
          <w:highlight w:val="none"/>
          <w:lang w:val="en-US" w:eastAsia="zh-CN"/>
        </w:rPr>
        <w:t>在《信用中国》网站下载信用信息（即法人和其他组织信用信息）和《中国政府采购网》查询结果截图为证明，</w:t>
      </w:r>
      <w:r>
        <w:rPr>
          <w:rFonts w:hint="eastAsia" w:ascii="宋体" w:hAnsi="宋体" w:eastAsia="宋体" w:cs="宋体"/>
          <w:color w:val="auto"/>
          <w:sz w:val="24"/>
          <w:szCs w:val="24"/>
          <w:highlight w:val="none"/>
          <w:lang w:val="en-US" w:eastAsia="zh-CN"/>
        </w:rPr>
        <w:t>如相关记录信息已失效，供应商必须提供由该记录信息的执行或列入单位出具的相关证明材料（如在《信用中国》查询显示无法搜索该企业，则视为其在信用中国无不良记录，以《中国政府采购网》查询结果为准）】；</w:t>
      </w:r>
    </w:p>
    <w:p w14:paraId="45F326A2">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合同履行承诺书；</w:t>
      </w:r>
    </w:p>
    <w:p w14:paraId="4AA08865">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4.提供关于单位负责人为同一人或者存在直接控股、管理关系的不同供应商，不得同时参加本采购项目投标的承诺书；</w:t>
      </w:r>
    </w:p>
    <w:p w14:paraId="575E5B1F">
      <w:pPr>
        <w:keepNext w:val="0"/>
        <w:keepLines w:val="0"/>
        <w:pageBreakBefore w:val="0"/>
        <w:widowControl/>
        <w:shd w:val="clear" w:color="auto" w:fill="auto"/>
        <w:kinsoku/>
        <w:wordWrap/>
        <w:overflowPunct/>
        <w:topLinePunct w:val="0"/>
        <w:autoSpaceDE/>
        <w:autoSpaceDN/>
        <w:bidi w:val="0"/>
        <w:adjustRightInd/>
        <w:snapToGrid/>
        <w:spacing w:line="440" w:lineRule="exact"/>
        <w:ind w:firstLine="480" w:firstLineChars="200"/>
        <w:jc w:val="left"/>
        <w:textAlignment w:val="auto"/>
        <w:rPr>
          <w:rFonts w:ascii="宋体" w:cs="宋体"/>
          <w:color w:val="auto"/>
          <w:sz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 w:val="0"/>
          <w:bCs/>
          <w:color w:val="auto"/>
          <w:kern w:val="0"/>
          <w:sz w:val="24"/>
          <w:highlight w:val="none"/>
          <w:lang w:val="en-US" w:eastAsia="zh-CN"/>
        </w:rPr>
        <w:t>提供黔南州政府采购供应商基本资格条件承诺函；</w:t>
      </w:r>
    </w:p>
    <w:p w14:paraId="7203E3B0">
      <w:pPr>
        <w:widowControl/>
        <w:spacing w:line="560" w:lineRule="exact"/>
        <w:ind w:firstLine="480" w:firstLineChars="200"/>
        <w:rPr>
          <w:rFonts w:hint="eastAsia" w:ascii="宋体" w:eastAsia="宋体" w:cs="宋体"/>
          <w:color w:val="auto"/>
          <w:sz w:val="24"/>
          <w:lang w:eastAsia="zh-CN"/>
        </w:rPr>
      </w:pPr>
      <w:r>
        <w:rPr>
          <w:rFonts w:hint="eastAsia" w:ascii="宋体" w:cs="宋体"/>
          <w:color w:val="auto"/>
          <w:sz w:val="24"/>
          <w:lang w:val="en-US" w:eastAsia="zh-CN"/>
        </w:rPr>
        <w:t>5</w:t>
      </w:r>
      <w:r>
        <w:rPr>
          <w:rFonts w:hint="eastAsia" w:ascii="宋体" w:cs="宋体"/>
          <w:color w:val="auto"/>
          <w:sz w:val="24"/>
        </w:rPr>
        <w:t>.</w:t>
      </w:r>
      <w:r>
        <w:rPr>
          <w:rFonts w:ascii="宋体" w:cs="宋体"/>
          <w:color w:val="auto"/>
          <w:sz w:val="24"/>
        </w:rPr>
        <w:t>特殊资格要求：</w:t>
      </w:r>
      <w:r>
        <w:rPr>
          <w:rFonts w:hint="eastAsia" w:ascii="宋体" w:cs="宋体"/>
          <w:color w:val="auto"/>
          <w:sz w:val="24"/>
          <w:lang w:eastAsia="zh-CN"/>
        </w:rPr>
        <w:t>无。</w:t>
      </w:r>
    </w:p>
    <w:p w14:paraId="7A7F2B19">
      <w:pPr>
        <w:widowControl/>
        <w:spacing w:line="560" w:lineRule="exact"/>
        <w:rPr>
          <w:rFonts w:hint="default" w:ascii="宋体" w:eastAsia="宋体" w:cs="宋体"/>
          <w:color w:val="auto"/>
          <w:sz w:val="24"/>
          <w:szCs w:val="24"/>
          <w:lang w:val="en-US" w:eastAsia="zh-CN"/>
        </w:rPr>
      </w:pPr>
      <w:r>
        <w:rPr>
          <w:rFonts w:hint="eastAsia" w:ascii="宋体" w:cs="宋体"/>
          <w:b/>
          <w:bCs/>
          <w:color w:val="auto"/>
          <w:sz w:val="24"/>
          <w:szCs w:val="24"/>
        </w:rPr>
        <w:t>二、采购预算：</w:t>
      </w:r>
      <w:r>
        <w:rPr>
          <w:rFonts w:hint="eastAsia" w:ascii="宋体" w:cs="宋体"/>
          <w:color w:val="auto"/>
          <w:sz w:val="24"/>
          <w:szCs w:val="24"/>
          <w:lang w:val="en-US" w:eastAsia="zh-CN"/>
        </w:rPr>
        <w:t>52.12</w:t>
      </w:r>
      <w:r>
        <w:rPr>
          <w:rFonts w:hint="eastAsia" w:ascii="宋体" w:cs="宋体"/>
          <w:color w:val="auto"/>
          <w:sz w:val="24"/>
          <w:szCs w:val="24"/>
        </w:rPr>
        <w:t>万元</w:t>
      </w:r>
    </w:p>
    <w:p w14:paraId="35E8604E">
      <w:pPr>
        <w:widowControl/>
        <w:shd w:val="clear" w:color="auto" w:fill="FFFFFF"/>
        <w:spacing w:before="120" w:after="120" w:line="360" w:lineRule="auto"/>
        <w:jc w:val="left"/>
        <w:rPr>
          <w:rFonts w:hint="eastAsia" w:ascii="宋体" w:cs="宋体"/>
          <w:b/>
          <w:bCs/>
          <w:color w:val="auto"/>
          <w:sz w:val="24"/>
          <w:szCs w:val="24"/>
        </w:rPr>
      </w:pPr>
      <w:r>
        <w:rPr>
          <w:rFonts w:hint="eastAsia" w:ascii="宋体" w:cs="宋体"/>
          <w:b/>
          <w:bCs/>
          <w:color w:val="auto"/>
          <w:sz w:val="24"/>
          <w:szCs w:val="24"/>
        </w:rPr>
        <w:t>三、</w:t>
      </w:r>
      <w:r>
        <w:rPr>
          <w:rFonts w:hint="eastAsia" w:ascii="宋体" w:hAnsi="Times New Roman" w:eastAsia="宋体" w:cs="宋体"/>
          <w:b/>
          <w:bCs/>
          <w:color w:val="auto"/>
          <w:sz w:val="24"/>
        </w:rPr>
        <w:t>最高限价:</w:t>
      </w:r>
      <w:r>
        <w:rPr>
          <w:rFonts w:hint="eastAsia" w:ascii="宋体" w:cs="宋体"/>
          <w:b/>
          <w:bCs/>
          <w:color w:val="auto"/>
          <w:sz w:val="24"/>
          <w:lang w:val="en-US" w:eastAsia="zh-CN"/>
        </w:rPr>
        <w:t xml:space="preserve"> 52.12</w:t>
      </w:r>
      <w:r>
        <w:rPr>
          <w:rFonts w:hint="eastAsia" w:ascii="宋体" w:cs="宋体"/>
          <w:color w:val="auto"/>
          <w:sz w:val="24"/>
          <w:szCs w:val="24"/>
        </w:rPr>
        <w:t>万元</w:t>
      </w:r>
    </w:p>
    <w:p w14:paraId="06F401D3">
      <w:pPr>
        <w:widowControl/>
        <w:spacing w:line="560" w:lineRule="exact"/>
        <w:rPr>
          <w:rFonts w:hint="eastAsia" w:ascii="宋体" w:cs="宋体"/>
          <w:b w:val="0"/>
          <w:bCs w:val="0"/>
          <w:color w:val="auto"/>
          <w:sz w:val="24"/>
          <w:szCs w:val="24"/>
        </w:rPr>
      </w:pPr>
      <w:r>
        <w:rPr>
          <w:rFonts w:hint="eastAsia" w:ascii="宋体" w:cs="宋体"/>
          <w:b/>
          <w:bCs/>
          <w:color w:val="auto"/>
          <w:sz w:val="24"/>
          <w:szCs w:val="24"/>
          <w:lang w:val="en-US" w:eastAsia="zh-CN"/>
        </w:rPr>
        <w:t>四、交货期</w:t>
      </w:r>
      <w:r>
        <w:rPr>
          <w:rFonts w:hint="eastAsia" w:ascii="宋体" w:cs="宋体"/>
          <w:b/>
          <w:bCs/>
          <w:color w:val="auto"/>
          <w:sz w:val="24"/>
          <w:szCs w:val="24"/>
        </w:rPr>
        <w:t>：</w:t>
      </w:r>
      <w:r>
        <w:rPr>
          <w:rFonts w:hint="eastAsia" w:ascii="宋体" w:eastAsia="宋体" w:cs="宋体"/>
          <w:color w:val="auto"/>
          <w:sz w:val="24"/>
          <w:highlight w:val="none"/>
          <w:lang w:val="en-US" w:eastAsia="zh-CN"/>
        </w:rPr>
        <w:t>签订合同后30日内</w:t>
      </w:r>
      <w:r>
        <w:rPr>
          <w:rFonts w:hint="eastAsia" w:ascii="宋体" w:cs="宋体"/>
          <w:b w:val="0"/>
          <w:bCs w:val="0"/>
          <w:color w:val="auto"/>
          <w:sz w:val="24"/>
          <w:szCs w:val="24"/>
        </w:rPr>
        <w:t>。</w:t>
      </w:r>
    </w:p>
    <w:p w14:paraId="6F83AC86">
      <w:pPr>
        <w:widowControl/>
        <w:spacing w:line="560" w:lineRule="exact"/>
        <w:rPr>
          <w:rFonts w:hint="eastAsia" w:ascii="宋体" w:cs="宋体"/>
          <w:color w:val="auto"/>
          <w:sz w:val="24"/>
          <w:szCs w:val="24"/>
        </w:rPr>
      </w:pPr>
      <w:r>
        <w:rPr>
          <w:rFonts w:hint="eastAsia" w:ascii="宋体" w:cs="宋体"/>
          <w:b/>
          <w:bCs/>
          <w:color w:val="auto"/>
          <w:sz w:val="24"/>
          <w:szCs w:val="24"/>
          <w:lang w:val="en-US" w:eastAsia="zh-CN"/>
        </w:rPr>
        <w:t>五</w:t>
      </w:r>
      <w:r>
        <w:rPr>
          <w:rFonts w:hint="eastAsia" w:ascii="宋体" w:cs="宋体"/>
          <w:b/>
          <w:bCs/>
          <w:color w:val="auto"/>
          <w:sz w:val="24"/>
          <w:szCs w:val="24"/>
        </w:rPr>
        <w:t>、采购方式：</w:t>
      </w:r>
      <w:r>
        <w:rPr>
          <w:rFonts w:hint="eastAsia" w:ascii="宋体" w:cs="宋体"/>
          <w:color w:val="auto"/>
          <w:sz w:val="24"/>
          <w:szCs w:val="24"/>
        </w:rPr>
        <w:t>竞争性磋商</w:t>
      </w:r>
    </w:p>
    <w:p w14:paraId="5DF72E44">
      <w:pPr>
        <w:widowControl/>
        <w:spacing w:line="560" w:lineRule="exact"/>
        <w:rPr>
          <w:rFonts w:ascii="宋体" w:cs="宋体"/>
          <w:color w:val="auto"/>
          <w:sz w:val="24"/>
          <w:szCs w:val="24"/>
        </w:rPr>
      </w:pPr>
      <w:r>
        <w:rPr>
          <w:rFonts w:hint="eastAsia" w:ascii="宋体" w:cs="宋体"/>
          <w:b/>
          <w:bCs/>
          <w:color w:val="auto"/>
          <w:sz w:val="24"/>
          <w:szCs w:val="24"/>
          <w:lang w:val="en-US" w:eastAsia="zh-CN"/>
        </w:rPr>
        <w:t>六</w:t>
      </w:r>
      <w:r>
        <w:rPr>
          <w:rFonts w:hint="eastAsia" w:ascii="宋体" w:cs="宋体"/>
          <w:b/>
          <w:bCs/>
          <w:color w:val="auto"/>
          <w:sz w:val="24"/>
          <w:szCs w:val="24"/>
        </w:rPr>
        <w:t>、政府采购政策：</w:t>
      </w:r>
      <w:bookmarkStart w:id="0" w:name="_GoBack"/>
      <w:bookmarkEnd w:id="0"/>
      <w:r>
        <w:rPr>
          <w:rFonts w:hint="eastAsia" w:ascii="宋体" w:cs="宋体"/>
          <w:color w:val="auto"/>
          <w:kern w:val="0"/>
          <w:sz w:val="24"/>
          <w:highlight w:val="none"/>
          <w:lang w:eastAsia="zh-CN"/>
        </w:rPr>
        <w:t>本项目专门面向中小微企业采购</w:t>
      </w:r>
    </w:p>
    <w:p w14:paraId="68466A11">
      <w:pPr>
        <w:widowControl/>
        <w:spacing w:line="560" w:lineRule="exact"/>
        <w:rPr>
          <w:rFonts w:hint="eastAsia" w:ascii="宋体" w:cs="宋体"/>
          <w:b/>
          <w:bCs/>
          <w:color w:val="auto"/>
          <w:sz w:val="24"/>
          <w:szCs w:val="24"/>
        </w:rPr>
      </w:pPr>
      <w:r>
        <w:rPr>
          <w:rFonts w:hint="eastAsia" w:ascii="宋体" w:cs="宋体"/>
          <w:b/>
          <w:bCs/>
          <w:color w:val="auto"/>
          <w:sz w:val="24"/>
          <w:szCs w:val="24"/>
          <w:lang w:val="en-US" w:eastAsia="zh-CN"/>
        </w:rPr>
        <w:t>七</w:t>
      </w:r>
      <w:r>
        <w:rPr>
          <w:rFonts w:hint="eastAsia" w:ascii="宋体" w:cs="宋体"/>
          <w:b/>
          <w:bCs/>
          <w:color w:val="auto"/>
          <w:sz w:val="24"/>
          <w:szCs w:val="24"/>
        </w:rPr>
        <w:t>、无效投标</w:t>
      </w:r>
    </w:p>
    <w:p w14:paraId="0D018133">
      <w:pPr>
        <w:widowControl/>
        <w:spacing w:line="560" w:lineRule="exact"/>
        <w:ind w:firstLine="480" w:firstLineChars="200"/>
        <w:rPr>
          <w:rFonts w:hint="eastAsia" w:ascii="宋体" w:cs="宋体"/>
          <w:color w:val="auto"/>
          <w:sz w:val="24"/>
        </w:rPr>
      </w:pPr>
      <w:r>
        <w:rPr>
          <w:rFonts w:hint="eastAsia" w:ascii="宋体" w:cs="宋体"/>
          <w:color w:val="auto"/>
          <w:sz w:val="24"/>
        </w:rPr>
        <w:t>（1）未按照招标文件的规定提交投标保证金的；</w:t>
      </w:r>
    </w:p>
    <w:p w14:paraId="30CA9CD4">
      <w:pPr>
        <w:widowControl/>
        <w:spacing w:line="560" w:lineRule="exact"/>
        <w:ind w:firstLine="480" w:firstLineChars="200"/>
        <w:rPr>
          <w:rFonts w:hint="eastAsia" w:ascii="宋体" w:cs="宋体"/>
          <w:color w:val="auto"/>
          <w:sz w:val="24"/>
        </w:rPr>
      </w:pPr>
      <w:r>
        <w:rPr>
          <w:rFonts w:hint="eastAsia" w:ascii="宋体" w:cs="宋体"/>
          <w:color w:val="auto"/>
          <w:sz w:val="24"/>
        </w:rPr>
        <w:t>（2）投标文件未按招标文件要求装订、密封、签署、盖章的；</w:t>
      </w:r>
    </w:p>
    <w:p w14:paraId="6A6E1B6B">
      <w:pPr>
        <w:widowControl/>
        <w:spacing w:line="560" w:lineRule="exact"/>
        <w:ind w:firstLine="480" w:firstLineChars="200"/>
        <w:rPr>
          <w:rFonts w:hint="eastAsia" w:ascii="宋体" w:cs="宋体"/>
          <w:color w:val="auto"/>
          <w:sz w:val="24"/>
        </w:rPr>
      </w:pPr>
      <w:r>
        <w:rPr>
          <w:rFonts w:hint="eastAsia" w:ascii="宋体" w:cs="宋体"/>
          <w:color w:val="auto"/>
          <w:sz w:val="24"/>
        </w:rPr>
        <w:t>（3）不具备招标文件中规定的资格要求的；</w:t>
      </w:r>
    </w:p>
    <w:p w14:paraId="791A88A4">
      <w:pPr>
        <w:widowControl/>
        <w:spacing w:line="560" w:lineRule="exact"/>
        <w:ind w:firstLine="480" w:firstLineChars="200"/>
        <w:rPr>
          <w:rFonts w:hint="eastAsia" w:ascii="宋体" w:cs="宋体"/>
          <w:color w:val="auto"/>
          <w:sz w:val="24"/>
        </w:rPr>
      </w:pPr>
      <w:r>
        <w:rPr>
          <w:rFonts w:hint="eastAsia" w:ascii="宋体" w:cs="宋体"/>
          <w:color w:val="auto"/>
          <w:sz w:val="24"/>
        </w:rPr>
        <w:t>（4）报价超过招标文件中规定的预算金额或者最高限价的；</w:t>
      </w:r>
    </w:p>
    <w:p w14:paraId="1FF54EEC">
      <w:pPr>
        <w:widowControl/>
        <w:spacing w:line="560" w:lineRule="exact"/>
        <w:ind w:firstLine="480" w:firstLineChars="200"/>
        <w:rPr>
          <w:rFonts w:hint="eastAsia" w:ascii="宋体" w:cs="宋体"/>
          <w:color w:val="auto"/>
          <w:sz w:val="24"/>
        </w:rPr>
      </w:pPr>
      <w:r>
        <w:rPr>
          <w:rFonts w:hint="eastAsia" w:ascii="宋体" w:cs="宋体"/>
          <w:color w:val="auto"/>
          <w:sz w:val="24"/>
        </w:rPr>
        <w:t>（5）投标文件含有采购人不能接受的附加条件的；</w:t>
      </w:r>
    </w:p>
    <w:p w14:paraId="1A751E34">
      <w:pPr>
        <w:widowControl/>
        <w:spacing w:line="560" w:lineRule="exact"/>
        <w:ind w:firstLine="480" w:firstLineChars="200"/>
        <w:rPr>
          <w:rFonts w:hint="eastAsia" w:ascii="宋体" w:cs="宋体"/>
          <w:color w:val="auto"/>
          <w:sz w:val="24"/>
        </w:rPr>
      </w:pPr>
      <w:r>
        <w:rPr>
          <w:rFonts w:hint="eastAsia" w:ascii="宋体" w:cs="宋体"/>
          <w:color w:val="auto"/>
          <w:sz w:val="24"/>
        </w:rPr>
        <w:t>（6）法律、法规和招标文件规定的其他无效情形；</w:t>
      </w:r>
    </w:p>
    <w:p w14:paraId="31D7FF13">
      <w:pPr>
        <w:widowControl/>
        <w:spacing w:line="560" w:lineRule="exact"/>
        <w:ind w:firstLine="480" w:firstLineChars="200"/>
        <w:rPr>
          <w:rFonts w:hint="eastAsia" w:ascii="宋体" w:cs="宋体"/>
          <w:color w:val="auto"/>
          <w:sz w:val="24"/>
        </w:rPr>
      </w:pPr>
      <w:r>
        <w:rPr>
          <w:rFonts w:hint="eastAsia" w:ascii="宋体" w:cs="宋体"/>
          <w:color w:val="auto"/>
          <w:sz w:val="24"/>
        </w:rPr>
        <w:t>（7）投标文件未按招标文件规定的格式填写，或者填写的内容不全，或者辨认不清产生歧义，或者涂改处未加盖投标人公章及法定代表人印章的；</w:t>
      </w:r>
    </w:p>
    <w:p w14:paraId="0B01232B">
      <w:pPr>
        <w:widowControl/>
        <w:spacing w:line="560" w:lineRule="exact"/>
        <w:ind w:firstLine="480" w:firstLineChars="200"/>
        <w:rPr>
          <w:rFonts w:hint="eastAsia" w:ascii="宋体" w:cs="宋体"/>
          <w:color w:val="auto"/>
          <w:sz w:val="24"/>
        </w:rPr>
      </w:pPr>
      <w:r>
        <w:rPr>
          <w:rFonts w:hint="eastAsia" w:ascii="宋体" w:cs="宋体"/>
          <w:color w:val="auto"/>
          <w:sz w:val="24"/>
        </w:rPr>
        <w:t>（8）投标人提交两份以上内容不同的投标文件未说明哪一个有效，或者在一份投标文件中对同一招标项目报有两个以上报价未说明哪一个有效的；</w:t>
      </w:r>
    </w:p>
    <w:p w14:paraId="3EFCBAAB">
      <w:pPr>
        <w:widowControl/>
        <w:spacing w:line="560" w:lineRule="exact"/>
        <w:ind w:firstLine="480" w:firstLineChars="200"/>
        <w:rPr>
          <w:rFonts w:hint="eastAsia" w:ascii="宋体" w:cs="宋体"/>
          <w:color w:val="auto"/>
          <w:sz w:val="24"/>
        </w:rPr>
      </w:pPr>
      <w:r>
        <w:rPr>
          <w:rFonts w:hint="eastAsia" w:ascii="宋体" w:cs="宋体"/>
          <w:color w:val="auto"/>
          <w:sz w:val="24"/>
        </w:rPr>
        <w:t>(9) 投标报价明显低于成本价，投标人不能合理说明或者不能提供相关证明材料的；</w:t>
      </w:r>
    </w:p>
    <w:p w14:paraId="2A1E72AE">
      <w:pPr>
        <w:widowControl/>
        <w:spacing w:line="560" w:lineRule="exact"/>
        <w:ind w:firstLine="480" w:firstLineChars="200"/>
        <w:rPr>
          <w:rFonts w:hint="eastAsia" w:ascii="宋体" w:cs="宋体"/>
          <w:color w:val="auto"/>
          <w:sz w:val="24"/>
        </w:rPr>
      </w:pPr>
      <w:r>
        <w:rPr>
          <w:rFonts w:hint="eastAsia" w:ascii="宋体" w:cs="宋体"/>
          <w:color w:val="auto"/>
          <w:sz w:val="24"/>
        </w:rPr>
        <w:t>(10) 以联合体方式投标的；</w:t>
      </w:r>
    </w:p>
    <w:p w14:paraId="42477B74">
      <w:pPr>
        <w:widowControl/>
        <w:spacing w:line="560" w:lineRule="exact"/>
        <w:ind w:firstLine="480" w:firstLineChars="200"/>
        <w:rPr>
          <w:rFonts w:hint="eastAsia" w:ascii="宋体" w:cs="宋体"/>
          <w:color w:val="auto"/>
          <w:sz w:val="24"/>
        </w:rPr>
      </w:pPr>
      <w:r>
        <w:rPr>
          <w:rFonts w:hint="eastAsia" w:ascii="宋体" w:cs="宋体"/>
          <w:color w:val="auto"/>
          <w:sz w:val="24"/>
        </w:rPr>
        <w:t>（11）不同投标人的投标文件由同一单位或者个人编制；</w:t>
      </w:r>
    </w:p>
    <w:p w14:paraId="6596AF95">
      <w:pPr>
        <w:widowControl/>
        <w:spacing w:line="560" w:lineRule="exact"/>
        <w:ind w:firstLine="480" w:firstLineChars="200"/>
        <w:rPr>
          <w:rFonts w:hint="eastAsia" w:ascii="宋体" w:cs="宋体"/>
          <w:color w:val="auto"/>
          <w:sz w:val="24"/>
        </w:rPr>
      </w:pPr>
      <w:r>
        <w:rPr>
          <w:rFonts w:hint="eastAsia" w:ascii="宋体" w:cs="宋体"/>
          <w:color w:val="auto"/>
          <w:sz w:val="24"/>
        </w:rPr>
        <w:t>（12）不同投标人委托同一单位或者个人办理投标事宜；</w:t>
      </w:r>
    </w:p>
    <w:p w14:paraId="289EF8B0">
      <w:pPr>
        <w:widowControl/>
        <w:spacing w:line="560" w:lineRule="exact"/>
        <w:ind w:firstLine="480" w:firstLineChars="200"/>
        <w:rPr>
          <w:rFonts w:hint="eastAsia" w:ascii="宋体" w:cs="宋体"/>
          <w:color w:val="auto"/>
          <w:sz w:val="24"/>
        </w:rPr>
      </w:pPr>
      <w:r>
        <w:rPr>
          <w:rFonts w:hint="eastAsia" w:ascii="宋体" w:cs="宋体"/>
          <w:color w:val="auto"/>
          <w:sz w:val="24"/>
        </w:rPr>
        <w:t>（13）不同投标人的投标文件载明的项目管理成员或者联系人员为同一人；</w:t>
      </w:r>
    </w:p>
    <w:p w14:paraId="4AA2A6D0">
      <w:pPr>
        <w:widowControl/>
        <w:spacing w:line="560" w:lineRule="exact"/>
        <w:ind w:firstLine="480" w:firstLineChars="200"/>
        <w:rPr>
          <w:rFonts w:hint="eastAsia" w:ascii="宋体" w:cs="宋体"/>
          <w:color w:val="auto"/>
          <w:sz w:val="24"/>
        </w:rPr>
      </w:pPr>
      <w:r>
        <w:rPr>
          <w:rFonts w:hint="eastAsia" w:ascii="宋体" w:cs="宋体"/>
          <w:color w:val="auto"/>
          <w:sz w:val="24"/>
        </w:rPr>
        <w:t>（14）不同投标人的投标文件异常一致或者投标报价呈规律性差异；</w:t>
      </w:r>
    </w:p>
    <w:p w14:paraId="6A08B157">
      <w:pPr>
        <w:widowControl/>
        <w:spacing w:line="560" w:lineRule="exact"/>
        <w:ind w:firstLine="480" w:firstLineChars="200"/>
        <w:rPr>
          <w:rFonts w:hint="eastAsia" w:ascii="宋体" w:cs="宋体"/>
          <w:color w:val="auto"/>
          <w:sz w:val="24"/>
        </w:rPr>
      </w:pPr>
      <w:r>
        <w:rPr>
          <w:rFonts w:hint="eastAsia" w:ascii="宋体" w:cs="宋体"/>
          <w:color w:val="auto"/>
          <w:sz w:val="24"/>
        </w:rPr>
        <w:t>（15）不同投标人的投标文件相互混装；</w:t>
      </w:r>
    </w:p>
    <w:p w14:paraId="21DA1757">
      <w:pPr>
        <w:widowControl/>
        <w:spacing w:line="560" w:lineRule="exact"/>
        <w:ind w:firstLine="480" w:firstLineChars="200"/>
        <w:rPr>
          <w:rFonts w:hint="eastAsia" w:ascii="宋体" w:cs="宋体"/>
          <w:color w:val="auto"/>
          <w:sz w:val="24"/>
        </w:rPr>
      </w:pPr>
      <w:r>
        <w:rPr>
          <w:rFonts w:hint="eastAsia" w:ascii="宋体" w:cs="宋体"/>
          <w:color w:val="auto"/>
          <w:sz w:val="24"/>
        </w:rPr>
        <w:t>（16）不同投标人的投标保证金从同一单位或者个人的账户转出。</w:t>
      </w:r>
    </w:p>
    <w:p w14:paraId="68EB6C5A">
      <w:pPr>
        <w:pStyle w:val="8"/>
        <w:rPr>
          <w:rFonts w:hint="eastAsia" w:ascii="宋体" w:cs="宋体"/>
          <w:color w:val="auto"/>
          <w:sz w:val="24"/>
        </w:rPr>
      </w:pPr>
    </w:p>
    <w:p w14:paraId="147059B6">
      <w:pPr>
        <w:pStyle w:val="9"/>
        <w:rPr>
          <w:rFonts w:hint="eastAsia"/>
          <w:color w:val="auto"/>
        </w:rPr>
      </w:pPr>
    </w:p>
    <w:p w14:paraId="668AD9EE">
      <w:pPr>
        <w:widowControl/>
        <w:spacing w:line="560" w:lineRule="exact"/>
        <w:rPr>
          <w:rFonts w:hint="eastAsia" w:ascii="宋体" w:cs="宋体"/>
          <w:b/>
          <w:bCs/>
          <w:color w:val="auto"/>
          <w:sz w:val="30"/>
          <w:szCs w:val="30"/>
        </w:rPr>
      </w:pPr>
      <w:r>
        <w:rPr>
          <w:rFonts w:hint="eastAsia" w:ascii="宋体" w:cs="宋体"/>
          <w:b/>
          <w:bCs/>
          <w:color w:val="auto"/>
          <w:sz w:val="30"/>
          <w:szCs w:val="30"/>
          <w:lang w:val="en-US" w:eastAsia="zh-CN"/>
        </w:rPr>
        <w:t>八</w:t>
      </w:r>
      <w:r>
        <w:rPr>
          <w:rFonts w:hint="eastAsia" w:ascii="宋体" w:cs="宋体"/>
          <w:b/>
          <w:bCs/>
          <w:color w:val="auto"/>
          <w:sz w:val="30"/>
          <w:szCs w:val="30"/>
        </w:rPr>
        <w:t>、评标办法</w:t>
      </w:r>
    </w:p>
    <w:p w14:paraId="54080A54">
      <w:pPr>
        <w:widowControl/>
        <w:spacing w:line="560" w:lineRule="exact"/>
        <w:ind w:firstLine="480" w:firstLineChars="200"/>
        <w:rPr>
          <w:rFonts w:hint="eastAsia" w:ascii="宋体" w:cs="宋体"/>
          <w:color w:val="auto"/>
          <w:sz w:val="24"/>
        </w:rPr>
      </w:pPr>
      <w:r>
        <w:rPr>
          <w:rFonts w:hint="eastAsia" w:ascii="宋体" w:cs="宋体"/>
          <w:color w:val="auto"/>
          <w:sz w:val="24"/>
        </w:rPr>
        <w:t>本次评标采用综合评分法。</w:t>
      </w:r>
    </w:p>
    <w:p w14:paraId="7B3A635D">
      <w:pPr>
        <w:widowControl/>
        <w:spacing w:line="560" w:lineRule="exact"/>
        <w:ind w:firstLine="480" w:firstLineChars="200"/>
        <w:rPr>
          <w:rFonts w:hint="eastAsia" w:ascii="宋体" w:cs="宋体"/>
          <w:color w:val="auto"/>
          <w:sz w:val="24"/>
        </w:rPr>
      </w:pPr>
      <w:r>
        <w:rPr>
          <w:rFonts w:hint="eastAsia" w:ascii="宋体" w:cs="宋体"/>
          <w:color w:val="auto"/>
          <w:sz w:val="24"/>
        </w:rPr>
        <w:t>综合评分法，是指在最大限度地满足招标文件实质性要求前提下，按照招标文件中规定的各项因素进行综合评审后，以评标总得分最高的投标人作为中标候选供应商或者中标供应商的评标方法。</w:t>
      </w:r>
    </w:p>
    <w:p w14:paraId="747ECBA7">
      <w:pPr>
        <w:pStyle w:val="8"/>
        <w:ind w:right="-865" w:rightChars="-412"/>
        <w:rPr>
          <w:rFonts w:hint="eastAsia"/>
          <w:color w:val="auto"/>
        </w:rPr>
      </w:pPr>
    </w:p>
    <w:p w14:paraId="08307543">
      <w:pPr>
        <w:pStyle w:val="9"/>
        <w:rPr>
          <w:rFonts w:hint="eastAsia"/>
          <w:color w:val="auto"/>
        </w:rPr>
      </w:pPr>
    </w:p>
    <w:p w14:paraId="150C9DB5">
      <w:pPr>
        <w:widowControl/>
        <w:numPr>
          <w:ilvl w:val="0"/>
          <w:numId w:val="0"/>
        </w:numPr>
        <w:tabs>
          <w:tab w:val="left" w:pos="0"/>
        </w:tabs>
        <w:spacing w:line="560" w:lineRule="exact"/>
        <w:ind w:leftChars="0"/>
        <w:rPr>
          <w:rFonts w:hint="eastAsia" w:ascii="宋体" w:cs="宋体"/>
          <w:b/>
          <w:bCs/>
          <w:color w:val="auto"/>
          <w:sz w:val="30"/>
          <w:szCs w:val="30"/>
        </w:rPr>
      </w:pPr>
      <w:r>
        <w:rPr>
          <w:rFonts w:hint="eastAsia" w:ascii="宋体" w:cs="宋体"/>
          <w:b/>
          <w:bCs/>
          <w:color w:val="auto"/>
          <w:sz w:val="30"/>
          <w:szCs w:val="30"/>
          <w:lang w:val="en-US" w:eastAsia="zh-CN"/>
        </w:rPr>
        <w:t>九、服务</w:t>
      </w:r>
      <w:r>
        <w:rPr>
          <w:rFonts w:hint="eastAsia" w:ascii="宋体" w:cs="宋体"/>
          <w:b/>
          <w:bCs/>
          <w:color w:val="auto"/>
          <w:sz w:val="30"/>
          <w:szCs w:val="30"/>
        </w:rPr>
        <w:t>需求</w:t>
      </w:r>
    </w:p>
    <w:p w14:paraId="119C6293">
      <w:pPr>
        <w:keepNext w:val="0"/>
        <w:keepLines w:val="0"/>
        <w:pageBreakBefore w:val="0"/>
        <w:numPr>
          <w:numId w:val="0"/>
        </w:numPr>
        <w:kinsoku/>
        <w:wordWrap/>
        <w:overflowPunct/>
        <w:topLinePunct w:val="0"/>
        <w:autoSpaceDE/>
        <w:autoSpaceDN/>
        <w:bidi w:val="0"/>
        <w:adjustRightIn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（一）采购清单和要求</w:t>
      </w:r>
    </w:p>
    <w:tbl>
      <w:tblPr>
        <w:tblStyle w:val="6"/>
        <w:tblW w:w="523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9"/>
        <w:gridCol w:w="735"/>
        <w:gridCol w:w="962"/>
        <w:gridCol w:w="4533"/>
        <w:gridCol w:w="995"/>
        <w:gridCol w:w="1334"/>
      </w:tblGrid>
      <w:tr w14:paraId="44E1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D555">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序序号</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9899">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项目</w:t>
            </w:r>
          </w:p>
        </w:tc>
        <w:tc>
          <w:tcPr>
            <w:tcW w:w="2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497F">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描述</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428E">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数量</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0F8D">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最高限价</w:t>
            </w:r>
          </w:p>
        </w:tc>
      </w:tr>
      <w:tr w14:paraId="3E22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6" w:type="pct"/>
            <w:vMerge w:val="restart"/>
            <w:tcBorders>
              <w:top w:val="single" w:color="000000" w:sz="4" w:space="0"/>
              <w:left w:val="single" w:color="000000" w:sz="4" w:space="0"/>
              <w:right w:val="single" w:color="000000" w:sz="4" w:space="0"/>
            </w:tcBorders>
            <w:shd w:val="clear" w:color="auto" w:fill="auto"/>
            <w:noWrap/>
            <w:vAlign w:val="center"/>
          </w:tcPr>
          <w:p w14:paraId="65D05AF4">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11</w:t>
            </w:r>
          </w:p>
        </w:tc>
        <w:tc>
          <w:tcPr>
            <w:tcW w:w="411" w:type="pct"/>
            <w:vMerge w:val="restart"/>
            <w:tcBorders>
              <w:top w:val="single" w:color="000000" w:sz="4" w:space="0"/>
              <w:left w:val="single" w:color="000000" w:sz="4" w:space="0"/>
              <w:right w:val="single" w:color="000000" w:sz="4" w:space="0"/>
            </w:tcBorders>
            <w:shd w:val="clear" w:color="auto" w:fill="auto"/>
            <w:noWrap/>
            <w:vAlign w:val="center"/>
          </w:tcPr>
          <w:p w14:paraId="5E834B4E">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扩容升级</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782A">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容量授权</w:t>
            </w:r>
          </w:p>
        </w:tc>
        <w:tc>
          <w:tcPr>
            <w:tcW w:w="2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205C">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200TB块存储(本地硬盘/存储柜/San存储/isCSI存储)容量授权</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E727">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200TB</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31FF">
            <w:pPr>
              <w:widowControl/>
              <w:spacing w:line="560" w:lineRule="exact"/>
              <w:ind w:firstLine="480" w:firstLineChars="200"/>
              <w:rPr>
                <w:rFonts w:hint="default" w:ascii="宋体" w:eastAsia="宋体" w:cs="宋体"/>
                <w:color w:val="auto"/>
                <w:sz w:val="24"/>
                <w:lang w:val="en-US" w:eastAsia="zh-CN"/>
              </w:rPr>
            </w:pPr>
            <w:r>
              <w:rPr>
                <w:rFonts w:hint="eastAsia" w:ascii="宋体" w:eastAsia="宋体" w:cs="宋体"/>
                <w:color w:val="auto"/>
                <w:sz w:val="24"/>
                <w:lang w:val="en-US" w:eastAsia="zh-CN"/>
              </w:rPr>
              <w:t>/</w:t>
            </w:r>
          </w:p>
        </w:tc>
      </w:tr>
      <w:tr w14:paraId="78AB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6" w:type="pct"/>
            <w:vMerge w:val="continue"/>
            <w:tcBorders>
              <w:left w:val="single" w:color="000000" w:sz="4" w:space="0"/>
              <w:right w:val="single" w:color="000000" w:sz="4" w:space="0"/>
            </w:tcBorders>
            <w:shd w:val="clear" w:color="auto" w:fill="auto"/>
            <w:noWrap/>
            <w:vAlign w:val="center"/>
          </w:tcPr>
          <w:p w14:paraId="7526FA69">
            <w:pPr>
              <w:widowControl/>
              <w:spacing w:line="560" w:lineRule="exact"/>
              <w:ind w:firstLine="480" w:firstLineChars="200"/>
              <w:rPr>
                <w:rFonts w:hint="eastAsia" w:ascii="宋体" w:eastAsia="宋体" w:cs="宋体"/>
                <w:color w:val="auto"/>
                <w:sz w:val="24"/>
                <w:lang w:val="en-US" w:eastAsia="zh-CN"/>
              </w:rPr>
            </w:pPr>
          </w:p>
        </w:tc>
        <w:tc>
          <w:tcPr>
            <w:tcW w:w="411" w:type="pct"/>
            <w:vMerge w:val="continue"/>
            <w:tcBorders>
              <w:left w:val="single" w:color="000000" w:sz="4" w:space="0"/>
              <w:right w:val="single" w:color="000000" w:sz="4" w:space="0"/>
            </w:tcBorders>
            <w:shd w:val="clear" w:color="auto" w:fill="auto"/>
            <w:noWrap/>
            <w:vAlign w:val="center"/>
          </w:tcPr>
          <w:p w14:paraId="650858FB">
            <w:pPr>
              <w:widowControl/>
              <w:spacing w:line="560" w:lineRule="exact"/>
              <w:ind w:firstLine="480" w:firstLineChars="200"/>
              <w:rPr>
                <w:rFonts w:hint="eastAsia" w:ascii="宋体" w:eastAsia="宋体" w:cs="宋体"/>
                <w:color w:val="auto"/>
                <w:sz w:val="24"/>
                <w:lang w:val="en-US" w:eastAsia="zh-CN"/>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5ADB">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直连式存储磁盘柜</w:t>
            </w:r>
          </w:p>
        </w:tc>
        <w:tc>
          <w:tcPr>
            <w:tcW w:w="2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CC23">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直连式存储磁盘柜</w:t>
            </w:r>
            <w:r>
              <w:rPr>
                <w:rFonts w:hint="eastAsia" w:ascii="宋体" w:eastAsia="宋体" w:cs="宋体"/>
                <w:color w:val="auto"/>
                <w:sz w:val="24"/>
                <w:highlight w:val="none"/>
                <w:lang w:val="en-US" w:eastAsia="zh-CN"/>
              </w:rPr>
              <w:t>1</w:t>
            </w:r>
            <w:r>
              <w:rPr>
                <w:rFonts w:hint="eastAsia" w:ascii="宋体" w:eastAsia="宋体" w:cs="宋体"/>
                <w:color w:val="auto"/>
                <w:sz w:val="24"/>
                <w:lang w:val="en-US" w:eastAsia="zh-CN"/>
              </w:rPr>
              <w:t>个，2U机架式，12盘位，RAID支持1,5,6,10,50,60,热备等，3.5" SAS、SATA硬盘接口，双控（1个）</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E07C">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2套</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35FE">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w:t>
            </w:r>
          </w:p>
        </w:tc>
      </w:tr>
      <w:tr w14:paraId="7143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206" w:type="pct"/>
            <w:vMerge w:val="continue"/>
            <w:tcBorders>
              <w:left w:val="single" w:color="000000" w:sz="4" w:space="0"/>
              <w:right w:val="single" w:color="000000" w:sz="4" w:space="0"/>
            </w:tcBorders>
            <w:shd w:val="clear" w:color="auto" w:fill="auto"/>
            <w:noWrap/>
            <w:vAlign w:val="center"/>
          </w:tcPr>
          <w:p w14:paraId="2102500A">
            <w:pPr>
              <w:widowControl/>
              <w:spacing w:line="560" w:lineRule="exact"/>
              <w:ind w:firstLine="480" w:firstLineChars="200"/>
              <w:rPr>
                <w:rFonts w:hint="eastAsia" w:ascii="宋体" w:eastAsia="宋体" w:cs="宋体"/>
                <w:color w:val="auto"/>
                <w:sz w:val="24"/>
                <w:lang w:val="en-US" w:eastAsia="zh-CN"/>
              </w:rPr>
            </w:pPr>
          </w:p>
        </w:tc>
        <w:tc>
          <w:tcPr>
            <w:tcW w:w="411" w:type="pct"/>
            <w:vMerge w:val="continue"/>
            <w:tcBorders>
              <w:left w:val="single" w:color="000000" w:sz="4" w:space="0"/>
              <w:right w:val="single" w:color="000000" w:sz="4" w:space="0"/>
            </w:tcBorders>
            <w:shd w:val="clear" w:color="auto" w:fill="auto"/>
            <w:noWrap/>
            <w:vAlign w:val="center"/>
          </w:tcPr>
          <w:p w14:paraId="73E6B6D2">
            <w:pPr>
              <w:widowControl/>
              <w:spacing w:line="560" w:lineRule="exact"/>
              <w:ind w:firstLine="480" w:firstLineChars="200"/>
              <w:rPr>
                <w:rFonts w:hint="eastAsia" w:ascii="宋体" w:eastAsia="宋体" w:cs="宋体"/>
                <w:color w:val="auto"/>
                <w:sz w:val="24"/>
                <w:lang w:val="en-US" w:eastAsia="zh-CN"/>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A846">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单块硬盘</w:t>
            </w:r>
          </w:p>
        </w:tc>
        <w:tc>
          <w:tcPr>
            <w:tcW w:w="2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586D">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10TB 12Gb/s NL-SAS 7200转 3.5寸硬盘（24块）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0A3A">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1套</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DABD">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 xml:space="preserve">   /</w:t>
            </w:r>
          </w:p>
        </w:tc>
      </w:tr>
      <w:tr w14:paraId="0F7A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6" w:type="pct"/>
            <w:vMerge w:val="continue"/>
            <w:tcBorders>
              <w:left w:val="single" w:color="000000" w:sz="4" w:space="0"/>
              <w:bottom w:val="single" w:color="000000" w:sz="4" w:space="0"/>
              <w:right w:val="single" w:color="000000" w:sz="4" w:space="0"/>
            </w:tcBorders>
            <w:shd w:val="clear" w:color="auto" w:fill="auto"/>
            <w:noWrap/>
            <w:vAlign w:val="center"/>
          </w:tcPr>
          <w:p w14:paraId="5BCB2277">
            <w:pPr>
              <w:widowControl/>
              <w:spacing w:line="560" w:lineRule="exact"/>
              <w:ind w:firstLine="480" w:firstLineChars="200"/>
              <w:rPr>
                <w:rFonts w:hint="eastAsia" w:ascii="宋体" w:eastAsia="宋体" w:cs="宋体"/>
                <w:color w:val="auto"/>
                <w:sz w:val="24"/>
                <w:lang w:val="en-US" w:eastAsia="zh-CN"/>
              </w:rPr>
            </w:pPr>
          </w:p>
        </w:tc>
        <w:tc>
          <w:tcPr>
            <w:tcW w:w="411" w:type="pct"/>
            <w:vMerge w:val="continue"/>
            <w:tcBorders>
              <w:left w:val="single" w:color="000000" w:sz="4" w:space="0"/>
              <w:bottom w:val="single" w:color="000000" w:sz="4" w:space="0"/>
              <w:right w:val="single" w:color="000000" w:sz="4" w:space="0"/>
            </w:tcBorders>
            <w:shd w:val="clear" w:color="auto" w:fill="auto"/>
            <w:noWrap/>
            <w:vAlign w:val="center"/>
          </w:tcPr>
          <w:p w14:paraId="6775E27D">
            <w:pPr>
              <w:widowControl/>
              <w:spacing w:line="560" w:lineRule="exact"/>
              <w:ind w:firstLine="480" w:firstLineChars="200"/>
              <w:rPr>
                <w:rFonts w:hint="eastAsia" w:ascii="宋体" w:eastAsia="宋体" w:cs="宋体"/>
                <w:color w:val="auto"/>
                <w:sz w:val="24"/>
                <w:lang w:val="en-US" w:eastAsia="zh-CN"/>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6A48">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RAID适配器</w:t>
            </w:r>
          </w:p>
        </w:tc>
        <w:tc>
          <w:tcPr>
            <w:tcW w:w="2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1859">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12Gb/s DAS（直连式存储） RAID适配器，RAID支持1,5,6,10,50,60,热备等，两个SFF-8644接口，最多可连接8台磁盘柜（1个）（涉及设备需满足国产化需求）</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2A03">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2个</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3AD6">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 xml:space="preserve">   /</w:t>
            </w:r>
          </w:p>
        </w:tc>
      </w:tr>
      <w:tr w14:paraId="3E82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B9C0">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22</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FFC7">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驻地运维服务</w:t>
            </w:r>
          </w:p>
        </w:tc>
        <w:tc>
          <w:tcPr>
            <w:tcW w:w="2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B6A1">
            <w:pPr>
              <w:widowControl/>
              <w:spacing w:line="560" w:lineRule="exact"/>
              <w:ind w:firstLine="480" w:firstLineChars="200"/>
              <w:rPr>
                <w:rFonts w:hint="default" w:ascii="宋体" w:eastAsia="宋体" w:cs="宋体"/>
                <w:color w:val="auto"/>
                <w:sz w:val="24"/>
                <w:lang w:val="en-US" w:eastAsia="zh-CN"/>
              </w:rPr>
            </w:pPr>
            <w:r>
              <w:rPr>
                <w:rFonts w:hint="eastAsia" w:ascii="宋体" w:eastAsia="宋体" w:cs="宋体"/>
                <w:color w:val="auto"/>
                <w:sz w:val="24"/>
                <w:lang w:val="en-US" w:eastAsia="zh-CN"/>
              </w:rPr>
              <w:t>提供驻地运维服务一年,负责异地灾备系统的正常运行，根据不同场景和需求设置不同的备份策略，定期对数据存量检测，以及对数据备份任务进行观察，对基层法院数据存储路径改变的情况及时更新策略信息。</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DCB5">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服务期一年</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1E32">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 xml:space="preserve">  90000元</w:t>
            </w:r>
          </w:p>
        </w:tc>
      </w:tr>
      <w:tr w14:paraId="709F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D016">
            <w:pPr>
              <w:widowControl/>
              <w:spacing w:line="560" w:lineRule="exact"/>
              <w:ind w:firstLine="480" w:firstLineChars="200"/>
              <w:rPr>
                <w:rFonts w:hint="default" w:ascii="宋体" w:eastAsia="宋体" w:cs="宋体"/>
                <w:color w:val="auto"/>
                <w:sz w:val="24"/>
                <w:lang w:val="en-US" w:eastAsia="zh-CN"/>
              </w:rPr>
            </w:pPr>
            <w:r>
              <w:rPr>
                <w:rFonts w:hint="eastAsia" w:ascii="宋体" w:eastAsia="宋体" w:cs="宋体"/>
                <w:color w:val="auto"/>
                <w:sz w:val="24"/>
                <w:lang w:val="en-US" w:eastAsia="zh-CN"/>
              </w:rPr>
              <w:t>33</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D0FF">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系统匹配要求</w:t>
            </w:r>
          </w:p>
        </w:tc>
        <w:tc>
          <w:tcPr>
            <w:tcW w:w="2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921F">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要求能与现有灾备系统完全实现数据交互，且保证原有灾备系统的数据安全和数据完整性不被破坏。</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A9E1">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一套</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0F8A">
            <w:pPr>
              <w:widowControl/>
              <w:spacing w:line="560" w:lineRule="exact"/>
              <w:rPr>
                <w:rFonts w:hint="default" w:ascii="宋体" w:eastAsia="宋体" w:cs="宋体"/>
                <w:color w:val="auto"/>
                <w:sz w:val="24"/>
                <w:lang w:val="en-US" w:eastAsia="zh-CN"/>
              </w:rPr>
            </w:pPr>
            <w:r>
              <w:rPr>
                <w:rFonts w:hint="eastAsia" w:ascii="宋体" w:eastAsia="宋体" w:cs="宋体"/>
                <w:color w:val="auto"/>
                <w:sz w:val="24"/>
                <w:lang w:val="en-US" w:eastAsia="zh-CN"/>
              </w:rPr>
              <w:t xml:space="preserve">   /</w:t>
            </w:r>
          </w:p>
        </w:tc>
      </w:tr>
    </w:tbl>
    <w:p w14:paraId="03FB3033">
      <w:pPr>
        <w:widowControl/>
        <w:spacing w:line="560" w:lineRule="exact"/>
        <w:rPr>
          <w:rFonts w:hint="eastAsia" w:ascii="宋体" w:cs="宋体"/>
          <w:color w:val="auto"/>
          <w:sz w:val="24"/>
          <w:lang w:val="en-US" w:eastAsia="zh-CN"/>
        </w:rPr>
      </w:pPr>
    </w:p>
    <w:p w14:paraId="46B46A3C">
      <w:pPr>
        <w:keepNext w:val="0"/>
        <w:keepLines w:val="0"/>
        <w:widowControl/>
        <w:suppressLineNumbers w:val="0"/>
        <w:jc w:val="left"/>
        <w:rPr>
          <w:color w:val="auto"/>
        </w:rPr>
      </w:pPr>
      <w:r>
        <w:rPr>
          <w:rFonts w:hint="eastAsia" w:ascii="仿宋" w:hAnsi="仿宋" w:eastAsia="仿宋" w:cs="仿宋"/>
          <w:b/>
          <w:bCs/>
          <w:color w:val="auto"/>
          <w:kern w:val="0"/>
          <w:sz w:val="28"/>
          <w:szCs w:val="28"/>
          <w:lang w:val="en-US" w:eastAsia="zh-CN" w:bidi="ar"/>
        </w:rPr>
        <w:t>（二）</w:t>
      </w:r>
      <w:r>
        <w:rPr>
          <w:rFonts w:ascii="仿宋" w:hAnsi="仿宋" w:eastAsia="仿宋" w:cs="仿宋"/>
          <w:b/>
          <w:bCs/>
          <w:color w:val="auto"/>
          <w:kern w:val="0"/>
          <w:sz w:val="28"/>
          <w:szCs w:val="28"/>
          <w:lang w:val="en-US" w:eastAsia="zh-CN" w:bidi="ar"/>
        </w:rPr>
        <w:t xml:space="preserve">商务要求 </w:t>
      </w:r>
    </w:p>
    <w:p w14:paraId="357854A3">
      <w:pPr>
        <w:keepNext w:val="0"/>
        <w:keepLines w:val="0"/>
        <w:widowControl/>
        <w:suppressLineNumbers w:val="0"/>
        <w:ind w:firstLine="281" w:firstLineChars="100"/>
        <w:jc w:val="left"/>
        <w:rPr>
          <w:color w:val="auto"/>
          <w:sz w:val="22"/>
          <w:szCs w:val="28"/>
        </w:rPr>
      </w:pPr>
      <w:r>
        <w:rPr>
          <w:rFonts w:hint="eastAsia" w:ascii="仿宋" w:hAnsi="仿宋" w:eastAsia="仿宋" w:cs="仿宋"/>
          <w:b/>
          <w:bCs/>
          <w:color w:val="auto"/>
          <w:kern w:val="0"/>
          <w:sz w:val="28"/>
          <w:szCs w:val="28"/>
          <w:lang w:val="en-US" w:eastAsia="zh-CN" w:bidi="ar"/>
        </w:rPr>
        <w:t xml:space="preserve">1、交货期及质保期 </w:t>
      </w:r>
    </w:p>
    <w:p w14:paraId="1675409A">
      <w:pPr>
        <w:widowControl/>
        <w:spacing w:line="56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val="en-US" w:eastAsia="zh-CN"/>
        </w:rPr>
        <w:t xml:space="preserve">（1）交货期：签订合同后30日内； </w:t>
      </w:r>
    </w:p>
    <w:p w14:paraId="09F7AD1B">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（2）质保期：不得低于三年。</w:t>
      </w:r>
    </w:p>
    <w:p w14:paraId="024E898A">
      <w:pPr>
        <w:keepNext w:val="0"/>
        <w:keepLines w:val="0"/>
        <w:widowControl/>
        <w:suppressLineNumbers w:val="0"/>
        <w:ind w:firstLine="281" w:firstLineChars="100"/>
        <w:jc w:val="left"/>
        <w:rPr>
          <w:color w:val="auto"/>
          <w:sz w:val="22"/>
          <w:szCs w:val="28"/>
        </w:rPr>
      </w:pPr>
      <w:r>
        <w:rPr>
          <w:rFonts w:hint="eastAsia" w:ascii="仿宋" w:hAnsi="仿宋" w:eastAsia="仿宋" w:cs="仿宋"/>
          <w:b/>
          <w:bCs/>
          <w:color w:val="auto"/>
          <w:kern w:val="0"/>
          <w:sz w:val="28"/>
          <w:szCs w:val="28"/>
          <w:lang w:val="en-US" w:eastAsia="zh-CN" w:bidi="ar"/>
        </w:rPr>
        <w:t xml:space="preserve">2、验收标准、规范 </w:t>
      </w:r>
    </w:p>
    <w:p w14:paraId="1C23DCB4">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 xml:space="preserve">（1）所有货物均须为合法正当渠道全新原厂生产的产品，有国家相关质量认证，有合格证、质量证明等手续。 </w:t>
      </w:r>
    </w:p>
    <w:p w14:paraId="25CB44ED">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 xml:space="preserve">（2）货物到达现场后，供应商应在使用单位人员在场情况下当面对机器进行检查并作出记录， 双方签字确认。 </w:t>
      </w:r>
    </w:p>
    <w:p w14:paraId="0D4A0277">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 xml:space="preserve">（3）供应商应提供全部产品及完整的技术资料。 </w:t>
      </w:r>
    </w:p>
    <w:p w14:paraId="76E8773B">
      <w:pPr>
        <w:widowControl/>
        <w:spacing w:line="560" w:lineRule="exact"/>
        <w:ind w:firstLine="480" w:firstLineChars="200"/>
        <w:rPr>
          <w:color w:val="auto"/>
        </w:rPr>
      </w:pPr>
      <w:r>
        <w:rPr>
          <w:rFonts w:hint="eastAsia" w:ascii="宋体" w:eastAsia="宋体" w:cs="宋体"/>
          <w:color w:val="auto"/>
          <w:sz w:val="24"/>
          <w:lang w:val="en-US" w:eastAsia="zh-CN"/>
        </w:rPr>
        <w:t xml:space="preserve">（4）提供产品验收不合格的，采购人不予支付合同款。 </w:t>
      </w:r>
    </w:p>
    <w:p w14:paraId="6E0C6A88">
      <w:pPr>
        <w:widowControl/>
        <w:spacing w:line="560" w:lineRule="exact"/>
        <w:ind w:firstLine="281" w:firstLineChars="100"/>
        <w:rPr>
          <w:rFonts w:hint="default"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3、技术支持</w:t>
      </w:r>
    </w:p>
    <w:p w14:paraId="5C2E9485">
      <w:pPr>
        <w:widowControl/>
        <w:spacing w:line="560" w:lineRule="exact"/>
        <w:ind w:firstLine="482" w:firstLineChars="200"/>
        <w:rPr>
          <w:rFonts w:hint="eastAsia" w:ascii="宋体" w:eastAsia="宋体" w:cs="宋体"/>
          <w:b/>
          <w:bCs/>
          <w:color w:val="auto"/>
          <w:sz w:val="24"/>
          <w:lang w:val="en-US" w:eastAsia="zh-CN"/>
        </w:rPr>
      </w:pPr>
      <w:r>
        <w:rPr>
          <w:rFonts w:hint="eastAsia" w:ascii="宋体" w:eastAsia="宋体" w:cs="宋体"/>
          <w:b/>
          <w:bCs/>
          <w:color w:val="auto"/>
          <w:sz w:val="24"/>
          <w:lang w:val="en-US" w:eastAsia="zh-CN"/>
        </w:rPr>
        <w:t>为了保障使用连续性，投标产品厂商需承诺本项目提供的设备部件严格选用通过国产化认证的硬件与软件，跟现有设备能够兼容，确保系统兼容性，投标人可自行到现场进行测试。（需提供承诺函并加盖投标供应商和生产厂商公章）</w:t>
      </w:r>
    </w:p>
    <w:p w14:paraId="7792D4B2">
      <w:pPr>
        <w:widowControl/>
        <w:spacing w:line="560" w:lineRule="exact"/>
        <w:ind w:firstLine="240" w:firstLineChars="100"/>
        <w:rPr>
          <w:rFonts w:hint="eastAsia" w:ascii="宋体" w:eastAsia="宋体" w:cs="宋体"/>
          <w:color w:val="auto"/>
          <w:sz w:val="24"/>
          <w:lang w:val="en-US" w:eastAsia="zh-CN"/>
        </w:rPr>
      </w:pPr>
      <w:r>
        <w:rPr>
          <w:rFonts w:hint="eastAsia" w:ascii="宋体" w:eastAsia="宋体" w:cs="宋体"/>
          <w:color w:val="auto"/>
          <w:sz w:val="24"/>
          <w:lang w:val="en-US" w:eastAsia="zh-CN"/>
        </w:rPr>
        <w:t>4、售后服务</w:t>
      </w:r>
    </w:p>
    <w:p w14:paraId="1F4D8EBC">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（1）热线支持服务</w:t>
      </w:r>
    </w:p>
    <w:p w14:paraId="792C6607">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在用户此次维护项目中，提供 7x24 小时的热线支持服务，提供7x24小时电话技术咨询服务，解答技术问题和提供方案咨询，接到支持需求在30分钟内作出回应。安排有值班工程师专门负责接听热线电话，回答用户的热线电话咨询和配合远程故障诊断服务。</w:t>
      </w:r>
    </w:p>
    <w:p w14:paraId="3B3855EB">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①在维护阶段，将配置专职的维护项目经理，用户的技术人员可以通过电话直接与之取得联系，获得技术支持或进行故障申报。用户的技术人员也可以联系维护人员名单中的任何一位工程师以获得技术支持。</w:t>
      </w:r>
    </w:p>
    <w:p w14:paraId="0406D38D">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②在使用电话支持服务申告故障时，用户的技术人员可以通过热线电话解决故障：</w:t>
      </w:r>
    </w:p>
    <w:p w14:paraId="67E78111">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③技术人员通过电话方式受理故障申告的时间为7x24小时。</w:t>
      </w:r>
    </w:p>
    <w:p w14:paraId="5FE827DE">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④对于紧急问题，工程师在接到问题报告后5分钟之内提供电话响应或在线支持服务，对于一般问题，工程师在接到问题报告后半小时之内提供电话支持服务，并根据用户要求和实际情况提供现场维修服务。</w:t>
      </w:r>
    </w:p>
    <w:p w14:paraId="24C65057">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（2）远程支持服务</w:t>
      </w:r>
    </w:p>
    <w:p w14:paraId="324F037A">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为用户提供远程支持服务。远程支持服务的内容将包括：</w:t>
      </w:r>
    </w:p>
    <w:p w14:paraId="5DEAAA06">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①远程电话咨询服务：安排有值班工程师专门负责接听热线电话，回答用户的热线电话咨询。用户的邮件网关维护技术人员也可以直接通过电话和技术人员联系，由技术人员提供远程技术咨询服务。</w:t>
      </w:r>
    </w:p>
    <w:p w14:paraId="40C95F74">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②远程故障诊断服务：可以与客户的技术人员进行远程电话沟通，并确认问题所在，解决问题。</w:t>
      </w:r>
    </w:p>
    <w:p w14:paraId="3E9A8A02">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③在接到用户的故障描述后，工程师可以在实验室中进行故障模拟，从而在不影响客户实际系统运行的前提下，寻求解决问题的方法。</w:t>
      </w:r>
    </w:p>
    <w:p w14:paraId="01967523">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（3）现场技术支持服务</w:t>
      </w:r>
    </w:p>
    <w:p w14:paraId="77B44F30">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①现场技术支持服务指在用户的系统数据遇到严重故障，派遣工程师到达客户现场进行技术支持的服务。技术支持服务包括：故障排错、数据恢复、整机恢复等</w:t>
      </w:r>
    </w:p>
    <w:p w14:paraId="37C38182">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②根据客户的具体需求不同，为客户提供等级不同的现场技术支持服务。我方承诺提供特殊措施，无论由于哪一方产生的问题而使系统发生不正常情况时，在得到最终使用方通知后，立即派工程师到场，全力协助最终使用方，使系统尽快恢复正常。</w:t>
      </w:r>
    </w:p>
    <w:p w14:paraId="4E3B0C7B">
      <w:pPr>
        <w:widowControl/>
        <w:spacing w:line="560" w:lineRule="exact"/>
        <w:rPr>
          <w:rFonts w:hint="eastAsia" w:ascii="宋体" w:eastAsia="宋体" w:cs="宋体"/>
          <w:color w:val="auto"/>
          <w:sz w:val="24"/>
          <w:lang w:val="en-US" w:eastAsia="zh-CN"/>
        </w:rPr>
      </w:pPr>
      <w:r>
        <w:rPr>
          <w:rFonts w:hint="eastAsia" w:ascii="宋体" w:eastAsia="宋体" w:cs="宋体"/>
          <w:color w:val="auto"/>
          <w:sz w:val="24"/>
          <w:lang w:val="en-US" w:eastAsia="zh-CN"/>
        </w:rPr>
        <w:t>（4）巡检演练服务</w:t>
      </w:r>
    </w:p>
    <w:p w14:paraId="15879F79">
      <w:pPr>
        <w:widowControl/>
        <w:spacing w:line="560" w:lineRule="exact"/>
        <w:ind w:firstLine="480" w:firstLineChars="200"/>
        <w:rPr>
          <w:rFonts w:hint="eastAsia" w:ascii="宋体" w:eastAsia="宋体" w:cs="宋体"/>
          <w:color w:val="auto"/>
          <w:sz w:val="24"/>
          <w:lang w:val="en-US" w:eastAsia="zh-CN"/>
        </w:rPr>
      </w:pPr>
      <w:r>
        <w:rPr>
          <w:rFonts w:hint="eastAsia" w:ascii="宋体" w:eastAsia="宋体" w:cs="宋体"/>
          <w:color w:val="auto"/>
          <w:sz w:val="24"/>
          <w:lang w:val="en-US" w:eastAsia="zh-CN"/>
        </w:rPr>
        <w:t>定期灾备系统巡检和演练是确保灾备系统可靠性不可缺少的重要环节和保障，将针对用户数据完整性、业务连续性、灾备数据可靠性运行状态等各方面提供每年两次的性能指标进行检测，并提交相应的检测报告与建议方案，每季度一次。</w:t>
      </w:r>
    </w:p>
    <w:p w14:paraId="2943A6CC">
      <w:pPr>
        <w:widowControl/>
        <w:spacing w:line="560" w:lineRule="exact"/>
        <w:rPr>
          <w:rFonts w:hint="eastAsia" w:ascii="宋体" w:cs="宋体"/>
          <w:b/>
          <w:bCs/>
          <w:color w:val="auto"/>
          <w:sz w:val="24"/>
        </w:rPr>
      </w:pPr>
    </w:p>
    <w:p w14:paraId="5C341242">
      <w:pPr>
        <w:widowControl/>
        <w:spacing w:line="560" w:lineRule="exact"/>
        <w:ind w:firstLine="964" w:firstLineChars="400"/>
        <w:rPr>
          <w:rFonts w:hint="eastAsia" w:ascii="宋体" w:cs="宋体"/>
          <w:b/>
          <w:bCs/>
          <w:color w:val="auto"/>
          <w:sz w:val="24"/>
        </w:rPr>
      </w:pPr>
      <w:r>
        <w:rPr>
          <w:rFonts w:hint="eastAsia" w:ascii="宋体" w:cs="宋体"/>
          <w:b/>
          <w:bCs/>
          <w:color w:val="auto"/>
          <w:sz w:val="24"/>
        </w:rPr>
        <w:t>（注：本次采购需求内容以发布的采购公告及招标文件为准）</w:t>
      </w:r>
    </w:p>
    <w:p w14:paraId="57753BB5">
      <w:pPr>
        <w:pStyle w:val="2"/>
        <w:rPr>
          <w:rFonts w:hint="eastAsia" w:ascii="宋体" w:cs="宋体"/>
          <w:b/>
          <w:bCs/>
          <w:color w:val="auto"/>
          <w:sz w:val="24"/>
        </w:rPr>
      </w:pPr>
    </w:p>
    <w:p w14:paraId="1229846C">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50DA0"/>
    <w:rsid w:val="04850DA0"/>
    <w:rsid w:val="0B300C6A"/>
    <w:rsid w:val="4DC84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kern w:val="44"/>
      <w:sz w:val="44"/>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Date"/>
    <w:basedOn w:val="1"/>
    <w:next w:val="1"/>
    <w:unhideWhenUsed/>
    <w:qFormat/>
    <w:uiPriority w:val="0"/>
    <w:pPr>
      <w:ind w:leftChars="2500"/>
    </w:pPr>
    <w:rPr>
      <w:rFonts w:ascii="仿宋_GB2312" w:eastAsia="仿宋_GB2312"/>
      <w:b/>
      <w:bCs/>
      <w:kern w:val="0"/>
      <w:sz w:val="36"/>
    </w:rPr>
  </w:style>
  <w:style w:type="paragraph" w:customStyle="1" w:styleId="8">
    <w:name w:val="NormalIndent"/>
    <w:basedOn w:val="1"/>
    <w:next w:val="9"/>
    <w:qFormat/>
    <w:uiPriority w:val="0"/>
    <w:rPr>
      <w:szCs w:val="21"/>
    </w:rPr>
  </w:style>
  <w:style w:type="paragraph" w:customStyle="1" w:styleId="9">
    <w:name w:val="UserStyle_10"/>
    <w:qFormat/>
    <w:uiPriority w:val="0"/>
    <w:rPr>
      <w:rFonts w:ascii="Arial" w:hAnsi="Arial" w:eastAsia="宋体" w:cs="Times New Roman"/>
      <w:color w:val="000000"/>
      <w:sz w:val="24"/>
      <w:szCs w:val="24"/>
      <w:lang w:val="en-US" w:eastAsia="zh-CN" w:bidi="ar-SA"/>
    </w:rPr>
  </w:style>
  <w:style w:type="character" w:customStyle="1" w:styleId="10">
    <w:name w:val="标题 1 Char"/>
    <w:basedOn w:val="7"/>
    <w:link w:val="3"/>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7161</Words>
  <Characters>7982</Characters>
  <Lines>0</Lines>
  <Paragraphs>0</Paragraphs>
  <TotalTime>0</TotalTime>
  <ScaleCrop>false</ScaleCrop>
  <LinksUpToDate>false</LinksUpToDate>
  <CharactersWithSpaces>8085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2025-07-09T03:01:00Z</dcterms:created>
  <dc:creator>Administrator</dc:creator>
  <cp:lastModifiedBy>Administrator</cp:lastModifiedBy>
  <dcterms:modified xsi:type="dcterms:W3CDTF">2025-07-18T07:30:07Z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2B940C873A5B4C0DBB1E4D4E4EABAB27_13</vt:lpwstr>
  </property>
  <property fmtid="{D5CDD505-2E9C-101B-9397-08002B2CF9AE}" pid="4" name="KSOTemplateDocerSaveRecord">
    <vt:lpwstr>eyJoZGlkIjoiNTg5ZWRkNzVlNGM4ODcwM2JjODc3NjEzYWRkY2ZhMTkiLCJ1c2VySWQiOiIyNDM5NTQwNzQifQ==</vt:lpwstr>
  </property>
</Properties>
</file>