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A9C6">
      <w:pPr>
        <w:pStyle w:val="2"/>
        <w:spacing w:before="91" w:line="219" w:lineRule="auto"/>
        <w:ind w:left="585"/>
        <w:rPr>
          <w:sz w:val="28"/>
          <w:szCs w:val="28"/>
        </w:rPr>
      </w:pPr>
      <w:r>
        <w:rPr>
          <w:b/>
          <w:bCs/>
          <w:spacing w:val="-8"/>
          <w:sz w:val="28"/>
          <w:szCs w:val="28"/>
        </w:rPr>
        <w:t>需求附件：</w:t>
      </w:r>
    </w:p>
    <w:p w14:paraId="60D2FA1E">
      <w:pPr>
        <w:pStyle w:val="2"/>
        <w:spacing w:before="291" w:line="219" w:lineRule="auto"/>
        <w:ind w:left="4038"/>
        <w:outlineLvl w:val="1"/>
        <w:rPr>
          <w:sz w:val="28"/>
          <w:szCs w:val="28"/>
        </w:rPr>
      </w:pPr>
      <w:r>
        <w:rPr>
          <w:b/>
          <w:bCs/>
          <w:spacing w:val="-7"/>
          <w:sz w:val="28"/>
          <w:szCs w:val="28"/>
        </w:rPr>
        <w:t>第一章</w:t>
      </w:r>
      <w:r>
        <w:rPr>
          <w:spacing w:val="13"/>
          <w:sz w:val="28"/>
          <w:szCs w:val="28"/>
        </w:rPr>
        <w:t xml:space="preserve">  </w:t>
      </w:r>
      <w:r>
        <w:rPr>
          <w:b/>
          <w:bCs/>
          <w:spacing w:val="-7"/>
          <w:sz w:val="28"/>
          <w:szCs w:val="28"/>
        </w:rPr>
        <w:t>资格条件</w:t>
      </w:r>
    </w:p>
    <w:p w14:paraId="3FF4C58D">
      <w:pPr>
        <w:pStyle w:val="2"/>
        <w:spacing w:before="267" w:line="219" w:lineRule="auto"/>
        <w:ind w:left="500"/>
      </w:pPr>
      <w:r>
        <w:rPr>
          <w:spacing w:val="-3"/>
        </w:rPr>
        <w:t>（1）一般资格要求：</w:t>
      </w:r>
    </w:p>
    <w:p w14:paraId="419A9073">
      <w:pPr>
        <w:pStyle w:val="2"/>
        <w:spacing w:before="153" w:line="219" w:lineRule="auto"/>
        <w:ind w:left="489"/>
      </w:pPr>
      <w:r>
        <w:t>供应商具备《中华人民共和国政府采购法》</w:t>
      </w:r>
      <w:r>
        <w:rPr>
          <w:spacing w:val="-1"/>
        </w:rPr>
        <w:t>第二十二条规定的条件：</w:t>
      </w:r>
    </w:p>
    <w:p w14:paraId="27FB4771">
      <w:pPr>
        <w:pStyle w:val="2"/>
        <w:spacing w:before="155" w:line="219" w:lineRule="auto"/>
        <w:ind w:left="490"/>
      </w:pPr>
      <w:r>
        <w:rPr>
          <w:spacing w:val="-1"/>
        </w:rPr>
        <w:t>a.具有独立承担民事责任的能力；</w:t>
      </w:r>
    </w:p>
    <w:p w14:paraId="7932F2CF">
      <w:pPr>
        <w:pStyle w:val="2"/>
        <w:spacing w:before="156" w:line="219" w:lineRule="auto"/>
        <w:ind w:left="496"/>
      </w:pPr>
      <w:r>
        <w:rPr>
          <w:b/>
          <w:bCs/>
          <w:spacing w:val="-3"/>
          <w:u w:val="single" w:color="auto"/>
        </w:rPr>
        <w:t>具体要求：提供法人或其他组织的营业执照等证明文件</w:t>
      </w:r>
      <w:r>
        <w:rPr>
          <w:b/>
          <w:bCs/>
          <w:spacing w:val="-3"/>
        </w:rPr>
        <w:t>；</w:t>
      </w:r>
    </w:p>
    <w:p w14:paraId="3B33FD32">
      <w:pPr>
        <w:pStyle w:val="2"/>
        <w:spacing w:before="155" w:line="219" w:lineRule="auto"/>
        <w:ind w:left="485"/>
      </w:pPr>
      <w:r>
        <w:rPr>
          <w:spacing w:val="-1"/>
        </w:rPr>
        <w:t>b.具有良好的商业信誉和健全的财务会计制度；</w:t>
      </w:r>
    </w:p>
    <w:p w14:paraId="4A141C57">
      <w:pPr>
        <w:pStyle w:val="2"/>
        <w:spacing w:before="154" w:line="339" w:lineRule="auto"/>
        <w:ind w:left="9" w:firstLine="487"/>
        <w:jc w:val="both"/>
      </w:pPr>
      <w:r>
        <w:rPr>
          <w:b/>
          <w:bCs/>
          <w:spacing w:val="-8"/>
          <w:u w:val="single" w:color="auto"/>
        </w:rPr>
        <w:t>具体要求：提供完整的</w:t>
      </w:r>
      <w:r>
        <w:rPr>
          <w:spacing w:val="-38"/>
          <w:u w:val="single" w:color="auto"/>
        </w:rPr>
        <w:t xml:space="preserve"> </w:t>
      </w:r>
      <w:r>
        <w:rPr>
          <w:b/>
          <w:bCs/>
          <w:spacing w:val="-8"/>
          <w:u w:val="single" w:color="auto"/>
        </w:rPr>
        <w:t>2023</w:t>
      </w:r>
      <w:r>
        <w:rPr>
          <w:spacing w:val="-50"/>
          <w:u w:val="single" w:color="auto"/>
        </w:rPr>
        <w:t xml:space="preserve"> </w:t>
      </w:r>
      <w:r>
        <w:rPr>
          <w:b/>
          <w:bCs/>
          <w:spacing w:val="-8"/>
          <w:u w:val="single" w:color="auto"/>
        </w:rPr>
        <w:t>年度或</w:t>
      </w:r>
      <w:r>
        <w:rPr>
          <w:spacing w:val="-48"/>
          <w:u w:val="single" w:color="auto"/>
        </w:rPr>
        <w:t xml:space="preserve"> </w:t>
      </w:r>
      <w:r>
        <w:rPr>
          <w:b/>
          <w:bCs/>
          <w:spacing w:val="-8"/>
          <w:u w:val="single" w:color="auto"/>
        </w:rPr>
        <w:t>2024</w:t>
      </w:r>
      <w:r>
        <w:rPr>
          <w:spacing w:val="-52"/>
          <w:u w:val="single" w:color="auto"/>
        </w:rPr>
        <w:t xml:space="preserve"> </w:t>
      </w:r>
      <w:r>
        <w:rPr>
          <w:b/>
          <w:bCs/>
          <w:spacing w:val="-8"/>
          <w:u w:val="single" w:color="auto"/>
        </w:rPr>
        <w:t>年度经审计的财务报告，包括“</w:t>
      </w:r>
      <w:r>
        <w:rPr>
          <w:spacing w:val="-88"/>
          <w:u w:val="single" w:color="auto"/>
        </w:rPr>
        <w:t xml:space="preserve"> </w:t>
      </w:r>
      <w:r>
        <w:rPr>
          <w:b/>
          <w:bCs/>
          <w:spacing w:val="-8"/>
          <w:u w:val="single" w:color="auto"/>
        </w:rPr>
        <w:t>四表一注</w:t>
      </w:r>
      <w:r>
        <w:rPr>
          <w:spacing w:val="-88"/>
          <w:u w:val="single" w:color="auto"/>
        </w:rPr>
        <w:t xml:space="preserve"> </w:t>
      </w:r>
      <w:r>
        <w:rPr>
          <w:b/>
          <w:bCs/>
          <w:spacing w:val="-8"/>
          <w:u w:val="single" w:color="auto"/>
        </w:rPr>
        <w:t>”：资</w:t>
      </w:r>
      <w:r>
        <w:t xml:space="preserve">  </w:t>
      </w:r>
      <w:r>
        <w:rPr>
          <w:b/>
          <w:bCs/>
          <w:spacing w:val="-5"/>
          <w:u w:val="single" w:color="auto"/>
        </w:rPr>
        <w:t>产负债表、利润表（或利润及利润分配表或损益表）、现金流量表、所有者权益变</w:t>
      </w:r>
      <w:r>
        <w:rPr>
          <w:b/>
          <w:bCs/>
          <w:spacing w:val="-6"/>
          <w:u w:val="single" w:color="auto"/>
        </w:rPr>
        <w:t>动表及其附</w:t>
      </w:r>
      <w:r>
        <w:t xml:space="preserve">  </w:t>
      </w:r>
      <w:r>
        <w:rPr>
          <w:b/>
          <w:bCs/>
          <w:spacing w:val="-3"/>
          <w:u w:val="single" w:color="auto"/>
        </w:rPr>
        <w:t>注和审计机构的营业执照及执业证书及人员证书，或基本开户银行出具的</w:t>
      </w:r>
      <w:r>
        <w:rPr>
          <w:spacing w:val="-37"/>
          <w:u w:val="single" w:color="auto"/>
        </w:rPr>
        <w:t xml:space="preserve"> </w:t>
      </w:r>
      <w:r>
        <w:rPr>
          <w:b/>
          <w:bCs/>
          <w:spacing w:val="-3"/>
          <w:u w:val="single" w:color="auto"/>
        </w:rPr>
        <w:t>2025</w:t>
      </w:r>
      <w:r>
        <w:rPr>
          <w:spacing w:val="-50"/>
          <w:u w:val="single" w:color="auto"/>
        </w:rPr>
        <w:t xml:space="preserve"> </w:t>
      </w:r>
      <w:r>
        <w:rPr>
          <w:b/>
          <w:bCs/>
          <w:spacing w:val="-3"/>
          <w:u w:val="single" w:color="auto"/>
        </w:rPr>
        <w:t>年至今任意时</w:t>
      </w:r>
      <w:r>
        <w:t xml:space="preserve">  </w:t>
      </w:r>
      <w:r>
        <w:rPr>
          <w:b/>
          <w:bCs/>
          <w:spacing w:val="-4"/>
          <w:u w:val="single" w:color="auto"/>
        </w:rPr>
        <w:t>刻的资信证明，若审计报告或资信证明发表为否定意见、无法表示意见的，资格审查不通过</w:t>
      </w:r>
      <w:r>
        <w:rPr>
          <w:b/>
          <w:bCs/>
          <w:spacing w:val="-4"/>
        </w:rPr>
        <w:t>；</w:t>
      </w:r>
    </w:p>
    <w:p w14:paraId="68F764B7">
      <w:pPr>
        <w:pStyle w:val="2"/>
        <w:spacing w:line="219" w:lineRule="auto"/>
        <w:ind w:left="494"/>
      </w:pPr>
      <w:r>
        <w:rPr>
          <w:spacing w:val="-1"/>
        </w:rPr>
        <w:t>c.具有履行合同所必需的设备和专业技术能力；</w:t>
      </w:r>
    </w:p>
    <w:p w14:paraId="7B4715F2">
      <w:pPr>
        <w:pStyle w:val="2"/>
        <w:spacing w:before="154" w:line="219" w:lineRule="auto"/>
        <w:jc w:val="right"/>
      </w:pPr>
      <w:r>
        <w:rPr>
          <w:b/>
          <w:bCs/>
          <w:spacing w:val="-6"/>
          <w:u w:val="single" w:color="auto"/>
        </w:rPr>
        <w:t>具体要求：提供具备履行合同所必需的设备和专业技术能力的承诺函（承诺函格式自拟</w:t>
      </w:r>
      <w:r>
        <w:rPr>
          <w:b/>
          <w:bCs/>
          <w:spacing w:val="-56"/>
          <w:w w:val="88"/>
          <w:u w:val="single" w:color="auto"/>
        </w:rPr>
        <w:t>）</w:t>
      </w:r>
      <w:r>
        <w:rPr>
          <w:b/>
          <w:bCs/>
          <w:spacing w:val="-56"/>
          <w:w w:val="88"/>
        </w:rPr>
        <w:t>；</w:t>
      </w:r>
    </w:p>
    <w:p w14:paraId="1656A8CA">
      <w:pPr>
        <w:pStyle w:val="2"/>
        <w:spacing w:before="154" w:line="219" w:lineRule="auto"/>
        <w:ind w:left="494"/>
      </w:pPr>
      <w:r>
        <w:rPr>
          <w:spacing w:val="-1"/>
        </w:rPr>
        <w:t>d.有依法缴纳税收和社会保障资金的良好记录；</w:t>
      </w:r>
    </w:p>
    <w:p w14:paraId="1F8405E7">
      <w:pPr>
        <w:pStyle w:val="2"/>
        <w:spacing w:before="159" w:line="338" w:lineRule="auto"/>
        <w:ind w:left="9" w:right="58" w:firstLine="487"/>
        <w:jc w:val="both"/>
      </w:pPr>
      <w:r>
        <w:rPr>
          <w:b/>
          <w:bCs/>
          <w:spacing w:val="-2"/>
          <w:u w:val="single" w:color="auto"/>
        </w:rPr>
        <w:t>具体要求：提供</w:t>
      </w:r>
      <w:r>
        <w:rPr>
          <w:spacing w:val="-46"/>
          <w:u w:val="single" w:color="auto"/>
        </w:rPr>
        <w:t xml:space="preserve"> </w:t>
      </w:r>
      <w:r>
        <w:rPr>
          <w:b/>
          <w:bCs/>
          <w:spacing w:val="-2"/>
          <w:u w:val="single" w:color="auto"/>
        </w:rPr>
        <w:t>202</w:t>
      </w:r>
      <w:r>
        <w:rPr>
          <w:rFonts w:hint="eastAsia"/>
          <w:b/>
          <w:bCs/>
          <w:spacing w:val="-2"/>
          <w:u w:val="single" w:color="auto"/>
          <w:lang w:val="en-US" w:eastAsia="zh-CN"/>
        </w:rPr>
        <w:t>5</w:t>
      </w:r>
      <w:r>
        <w:rPr>
          <w:spacing w:val="-47"/>
          <w:u w:val="single" w:color="auto"/>
        </w:rPr>
        <w:t xml:space="preserve"> </w:t>
      </w:r>
      <w:r>
        <w:rPr>
          <w:b/>
          <w:bCs/>
          <w:spacing w:val="-2"/>
          <w:u w:val="single" w:color="auto"/>
        </w:rPr>
        <w:t>年</w:t>
      </w:r>
      <w:r>
        <w:rPr>
          <w:spacing w:val="-28"/>
          <w:u w:val="single" w:color="auto"/>
        </w:rPr>
        <w:t xml:space="preserve"> </w:t>
      </w:r>
      <w:r>
        <w:rPr>
          <w:rFonts w:hint="eastAsia"/>
          <w:b/>
          <w:bCs/>
          <w:spacing w:val="-2"/>
          <w:u w:val="single" w:color="auto"/>
          <w:lang w:val="en-US" w:eastAsia="zh-CN"/>
        </w:rPr>
        <w:t>01</w:t>
      </w:r>
      <w:r>
        <w:rPr>
          <w:b/>
          <w:bCs/>
          <w:spacing w:val="-2"/>
          <w:u w:val="single" w:color="auto"/>
        </w:rPr>
        <w:t>月至今任意</w:t>
      </w:r>
      <w:r>
        <w:rPr>
          <w:spacing w:val="-30"/>
          <w:u w:val="single" w:color="auto"/>
        </w:rPr>
        <w:t xml:space="preserve"> </w:t>
      </w:r>
      <w:r>
        <w:rPr>
          <w:b/>
          <w:bCs/>
          <w:spacing w:val="-2"/>
          <w:u w:val="single" w:color="auto"/>
        </w:rPr>
        <w:t>1</w:t>
      </w:r>
      <w:r>
        <w:rPr>
          <w:spacing w:val="-46"/>
          <w:u w:val="single" w:color="auto"/>
        </w:rPr>
        <w:t xml:space="preserve"> </w:t>
      </w:r>
      <w:r>
        <w:rPr>
          <w:b/>
          <w:bCs/>
          <w:spacing w:val="-2"/>
          <w:u w:val="single" w:color="auto"/>
        </w:rPr>
        <w:t>个月依法缴</w:t>
      </w:r>
      <w:r>
        <w:rPr>
          <w:b/>
          <w:bCs/>
          <w:spacing w:val="-3"/>
          <w:u w:val="single" w:color="auto"/>
        </w:rPr>
        <w:t>纳税收和社会保障资金的有效证明</w:t>
      </w:r>
      <w:r>
        <w:t xml:space="preserve"> </w:t>
      </w:r>
      <w:r>
        <w:rPr>
          <w:b/>
          <w:bCs/>
          <w:spacing w:val="1"/>
          <w:u w:val="single" w:color="auto"/>
        </w:rPr>
        <w:t>材料（税收：如税务局出具的书面证明或网银缴费凭证或完税凭证票据等</w:t>
      </w:r>
      <w:r>
        <w:rPr>
          <w:b/>
          <w:bCs/>
          <w:u w:val="single" w:color="auto"/>
        </w:rPr>
        <w:t>、社保：如社保局</w:t>
      </w:r>
      <w:r>
        <w:t xml:space="preserve"> </w:t>
      </w:r>
      <w:r>
        <w:rPr>
          <w:b/>
          <w:bCs/>
          <w:spacing w:val="-2"/>
          <w:u w:val="single" w:color="auto"/>
        </w:rPr>
        <w:t>出具的书面证明或网银缴费凭证或社保花名册或社保缴纳凭证票据等</w:t>
      </w:r>
      <w:r>
        <w:rPr>
          <w:b/>
          <w:bCs/>
          <w:spacing w:val="-62"/>
          <w:w w:val="97"/>
          <w:u w:val="single" w:color="auto"/>
        </w:rPr>
        <w:t>）</w:t>
      </w:r>
      <w:r>
        <w:rPr>
          <w:b/>
          <w:bCs/>
          <w:spacing w:val="-62"/>
          <w:w w:val="97"/>
        </w:rPr>
        <w:t>；</w:t>
      </w:r>
    </w:p>
    <w:p w14:paraId="7F85CFFF">
      <w:pPr>
        <w:pStyle w:val="2"/>
        <w:spacing w:before="1" w:line="218" w:lineRule="auto"/>
        <w:ind w:left="495"/>
      </w:pPr>
      <w:r>
        <w:rPr>
          <w:spacing w:val="-1"/>
        </w:rPr>
        <w:t>e.参加本次政府采购活动前三年内，在经营活动中没有重大违法记录；</w:t>
      </w:r>
    </w:p>
    <w:p w14:paraId="34E061F0">
      <w:pPr>
        <w:pStyle w:val="2"/>
        <w:tabs>
          <w:tab w:val="left" w:pos="135"/>
        </w:tabs>
        <w:spacing w:before="155" w:line="339" w:lineRule="auto"/>
        <w:ind w:right="58" w:firstLine="496"/>
      </w:pPr>
      <w:r>
        <w:rPr>
          <w:b/>
          <w:bCs/>
          <w:u w:val="single" w:color="auto"/>
        </w:rPr>
        <w:t>具体要求：提供参加政府采购活动前</w:t>
      </w:r>
      <w:r>
        <w:rPr>
          <w:spacing w:val="-43"/>
          <w:u w:val="single" w:color="auto"/>
        </w:rPr>
        <w:t xml:space="preserve"> </w:t>
      </w:r>
      <w:r>
        <w:rPr>
          <w:b/>
          <w:bCs/>
          <w:u w:val="single" w:color="auto"/>
        </w:rPr>
        <w:t>3</w:t>
      </w:r>
      <w:r>
        <w:rPr>
          <w:spacing w:val="-45"/>
          <w:u w:val="single" w:color="auto"/>
        </w:rPr>
        <w:t xml:space="preserve"> </w:t>
      </w:r>
      <w:r>
        <w:rPr>
          <w:b/>
          <w:bCs/>
          <w:u w:val="single" w:color="auto"/>
        </w:rPr>
        <w:t>年内在经营活动中没有重大违法记录的书面</w:t>
      </w:r>
      <w:r>
        <w:rPr>
          <w:b/>
          <w:bCs/>
          <w:spacing w:val="-1"/>
          <w:u w:val="single" w:color="auto"/>
        </w:rPr>
        <w:t>声明</w:t>
      </w:r>
      <w:r>
        <w:t xml:space="preserve"> </w:t>
      </w:r>
      <w:r>
        <w:rPr>
          <w:u w:val="single" w:color="auto"/>
        </w:rPr>
        <w:tab/>
      </w:r>
      <w:r>
        <w:rPr>
          <w:b/>
          <w:bCs/>
          <w:spacing w:val="-13"/>
          <w:u w:val="single" w:color="auto"/>
        </w:rPr>
        <w:t>（格式文件详见响应文件范本</w:t>
      </w:r>
      <w:r>
        <w:rPr>
          <w:b/>
          <w:bCs/>
          <w:spacing w:val="-65"/>
          <w:u w:val="single" w:color="auto"/>
        </w:rPr>
        <w:t>）</w:t>
      </w:r>
      <w:r>
        <w:rPr>
          <w:b/>
          <w:bCs/>
          <w:spacing w:val="-65"/>
        </w:rPr>
        <w:t>；</w:t>
      </w:r>
    </w:p>
    <w:p w14:paraId="32DCB41A">
      <w:pPr>
        <w:pStyle w:val="2"/>
        <w:spacing w:line="219" w:lineRule="auto"/>
        <w:ind w:left="493"/>
      </w:pPr>
      <w:r>
        <w:rPr>
          <w:spacing w:val="-1"/>
        </w:rPr>
        <w:t>f.法律、行政法规规定的其他条件。</w:t>
      </w:r>
    </w:p>
    <w:p w14:paraId="7AB257AB">
      <w:pPr>
        <w:pStyle w:val="2"/>
        <w:spacing w:before="151" w:line="339" w:lineRule="auto"/>
        <w:ind w:left="8" w:right="166" w:firstLine="485"/>
      </w:pPr>
      <w:r>
        <w:rPr>
          <w:b/>
          <w:bCs/>
          <w:spacing w:val="-3"/>
          <w:u w:val="single" w:color="auto"/>
        </w:rPr>
        <w:t>具体要求：供应商需承诺：在“信用中国</w:t>
      </w:r>
      <w:r>
        <w:rPr>
          <w:spacing w:val="-84"/>
          <w:u w:val="single" w:color="auto"/>
        </w:rPr>
        <w:t xml:space="preserve"> </w:t>
      </w:r>
      <w:r>
        <w:rPr>
          <w:b/>
          <w:bCs/>
          <w:spacing w:val="-3"/>
          <w:u w:val="single" w:color="auto"/>
        </w:rPr>
        <w:t>”网站、中国政府采购网等渠道查询中未被列</w:t>
      </w:r>
      <w:r>
        <w:t xml:space="preserve"> </w:t>
      </w:r>
      <w:r>
        <w:rPr>
          <w:b/>
          <w:bCs/>
          <w:spacing w:val="-2"/>
          <w:u w:val="single" w:color="auto"/>
        </w:rPr>
        <w:t>入失信被执行人名单、重大税收违法案件当事人名单、政府采购严重违法失信行为记录名单</w:t>
      </w:r>
      <w:r>
        <w:rPr>
          <w:spacing w:val="5"/>
        </w:rPr>
        <w:t xml:space="preserve"> </w:t>
      </w:r>
      <w:r>
        <w:rPr>
          <w:b/>
          <w:bCs/>
          <w:spacing w:val="-2"/>
          <w:u w:val="single" w:color="auto"/>
        </w:rPr>
        <w:t>中，如被列入失信被执行人、重大税收违法案件当事人名单、政府采购严重违法失信行为记</w:t>
      </w:r>
      <w:r>
        <w:rPr>
          <w:spacing w:val="5"/>
        </w:rPr>
        <w:t xml:space="preserve"> </w:t>
      </w:r>
      <w:r>
        <w:rPr>
          <w:b/>
          <w:bCs/>
          <w:spacing w:val="-2"/>
          <w:u w:val="single" w:color="auto"/>
        </w:rPr>
        <w:t>录名单中的供应商取消其协商资格，并承担由此造成的一切法律责任及后果（格式文件详见</w:t>
      </w:r>
      <w:r>
        <w:rPr>
          <w:spacing w:val="5"/>
        </w:rPr>
        <w:t xml:space="preserve"> </w:t>
      </w:r>
      <w:r>
        <w:rPr>
          <w:b/>
          <w:bCs/>
          <w:spacing w:val="-19"/>
          <w:u w:val="single" w:color="auto"/>
        </w:rPr>
        <w:t>响应文件范本）</w:t>
      </w:r>
      <w:r>
        <w:rPr>
          <w:b/>
          <w:bCs/>
          <w:spacing w:val="-19"/>
        </w:rPr>
        <w:t>。</w:t>
      </w:r>
    </w:p>
    <w:p w14:paraId="4A1E56F1">
      <w:pPr>
        <w:pStyle w:val="2"/>
        <w:spacing w:before="1" w:line="278" w:lineRule="auto"/>
        <w:ind w:left="12" w:right="56" w:firstLine="488"/>
      </w:pPr>
      <w:r>
        <w:rPr>
          <w:b/>
          <w:bCs/>
          <w:spacing w:val="-2"/>
        </w:rPr>
        <w:t>（2）特殊资格要求</w:t>
      </w:r>
      <w:r>
        <w:rPr>
          <w:spacing w:val="-2"/>
        </w:rPr>
        <w:t>：</w:t>
      </w:r>
      <w:r>
        <w:rPr>
          <w:rFonts w:hint="eastAsia"/>
          <w:b/>
          <w:bCs/>
          <w:spacing w:val="-2"/>
          <w:u w:val="single" w:color="auto"/>
          <w:lang w:val="en-US" w:eastAsia="zh-CN"/>
        </w:rPr>
        <w:t>无</w:t>
      </w:r>
      <w:r>
        <w:rPr>
          <w:b/>
          <w:bCs/>
          <w:spacing w:val="-3"/>
        </w:rPr>
        <w:t>。</w:t>
      </w:r>
    </w:p>
    <w:p w14:paraId="660DDEB3">
      <w:pPr>
        <w:pStyle w:val="2"/>
        <w:spacing w:before="154" w:line="219" w:lineRule="auto"/>
        <w:ind w:left="500"/>
      </w:pPr>
      <w:r>
        <w:rPr>
          <w:spacing w:val="-2"/>
        </w:rPr>
        <w:t>（3）本项目</w:t>
      </w:r>
      <w:r>
        <w:rPr>
          <w:spacing w:val="-2"/>
          <w:u w:val="single" w:color="auto"/>
        </w:rPr>
        <w:t>不接受</w:t>
      </w:r>
      <w:r>
        <w:rPr>
          <w:spacing w:val="-2"/>
        </w:rPr>
        <w:t>联合体投标。</w:t>
      </w:r>
    </w:p>
    <w:p w14:paraId="635F9335">
      <w:pPr>
        <w:pStyle w:val="2"/>
        <w:spacing w:before="157" w:line="219" w:lineRule="auto"/>
        <w:ind w:left="500"/>
      </w:pPr>
      <w:r>
        <w:rPr>
          <w:spacing w:val="-2"/>
        </w:rPr>
        <w:t>（4）本项目</w:t>
      </w:r>
      <w:r>
        <w:rPr>
          <w:spacing w:val="-2"/>
          <w:u w:val="single" w:color="auto"/>
        </w:rPr>
        <w:t>否</w:t>
      </w:r>
      <w:r>
        <w:rPr>
          <w:spacing w:val="-2"/>
        </w:rPr>
        <w:t>专门面向中小企业采购。</w:t>
      </w:r>
    </w:p>
    <w:p w14:paraId="1E2D1419">
      <w:pPr>
        <w:spacing w:line="219" w:lineRule="auto"/>
        <w:sectPr>
          <w:headerReference r:id="rId5" w:type="default"/>
          <w:footerReference r:id="rId6" w:type="default"/>
          <w:pgSz w:w="11906" w:h="16839"/>
          <w:pgMar w:top="400" w:right="1023" w:bottom="400" w:left="1080" w:header="0" w:footer="0" w:gutter="0"/>
          <w:cols w:space="720" w:num="1"/>
        </w:sectPr>
      </w:pPr>
    </w:p>
    <w:p w14:paraId="0CF8F6BA">
      <w:pPr>
        <w:spacing w:line="278" w:lineRule="auto"/>
        <w:rPr>
          <w:rFonts w:ascii="Arial"/>
          <w:sz w:val="21"/>
        </w:rPr>
      </w:pPr>
    </w:p>
    <w:p w14:paraId="086F07E4">
      <w:pPr>
        <w:spacing w:line="278" w:lineRule="auto"/>
        <w:rPr>
          <w:rFonts w:ascii="Arial"/>
          <w:sz w:val="21"/>
        </w:rPr>
      </w:pPr>
    </w:p>
    <w:p w14:paraId="73B24615">
      <w:pPr>
        <w:spacing w:line="279" w:lineRule="auto"/>
        <w:rPr>
          <w:rFonts w:ascii="Arial"/>
          <w:sz w:val="21"/>
        </w:rPr>
      </w:pPr>
    </w:p>
    <w:p w14:paraId="0A36B324">
      <w:pPr>
        <w:spacing w:line="279" w:lineRule="auto"/>
        <w:rPr>
          <w:rFonts w:ascii="Arial"/>
          <w:sz w:val="21"/>
        </w:rPr>
      </w:pPr>
    </w:p>
    <w:p w14:paraId="05EAB3AA">
      <w:pPr>
        <w:pStyle w:val="2"/>
        <w:spacing w:before="91" w:line="219" w:lineRule="auto"/>
        <w:ind w:left="2625"/>
        <w:outlineLvl w:val="1"/>
        <w:rPr>
          <w:sz w:val="28"/>
          <w:szCs w:val="28"/>
        </w:rPr>
      </w:pPr>
      <w:r>
        <w:rPr>
          <w:b/>
          <w:bCs/>
          <w:spacing w:val="-3"/>
          <w:sz w:val="28"/>
          <w:szCs w:val="28"/>
        </w:rPr>
        <w:t>第二章</w:t>
      </w:r>
      <w:r>
        <w:rPr>
          <w:spacing w:val="-3"/>
          <w:sz w:val="28"/>
          <w:szCs w:val="28"/>
        </w:rPr>
        <w:t xml:space="preserve">  </w:t>
      </w:r>
      <w:r>
        <w:rPr>
          <w:b/>
          <w:bCs/>
          <w:spacing w:val="-3"/>
          <w:sz w:val="28"/>
          <w:szCs w:val="28"/>
        </w:rPr>
        <w:t>服务内容、技术要求及商务要求</w:t>
      </w:r>
    </w:p>
    <w:p w14:paraId="7D7AC2F1">
      <w:pPr>
        <w:pStyle w:val="2"/>
        <w:spacing w:before="233" w:line="219" w:lineRule="auto"/>
        <w:ind w:left="3368"/>
        <w:outlineLvl w:val="2"/>
      </w:pPr>
      <w:r>
        <w:rPr>
          <w:b/>
          <w:bCs/>
          <w:spacing w:val="-3"/>
        </w:rPr>
        <w:t>第一节</w:t>
      </w:r>
      <w:r>
        <w:rPr>
          <w:spacing w:val="-3"/>
        </w:rPr>
        <w:t xml:space="preserve"> </w:t>
      </w:r>
      <w:r>
        <w:rPr>
          <w:b/>
          <w:bCs/>
          <w:spacing w:val="-3"/>
        </w:rPr>
        <w:t>服务内容及技术要求</w:t>
      </w:r>
    </w:p>
    <w:p w14:paraId="666DDD2A">
      <w:pPr>
        <w:pStyle w:val="2"/>
        <w:spacing w:before="182" w:line="220" w:lineRule="auto"/>
        <w:ind w:left="487"/>
      </w:pPr>
      <w:r>
        <w:rPr>
          <w:b/>
          <w:bCs/>
          <w:spacing w:val="-4"/>
        </w:rPr>
        <w:t>一、维保设备清单</w:t>
      </w:r>
    </w:p>
    <w:p w14:paraId="500282EC">
      <w:pPr>
        <w:spacing w:line="68" w:lineRule="exact"/>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5"/>
        <w:gridCol w:w="3096"/>
        <w:gridCol w:w="1858"/>
        <w:gridCol w:w="2736"/>
        <w:gridCol w:w="1118"/>
      </w:tblGrid>
      <w:tr w14:paraId="7353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5E5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539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C89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5E1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数量(个)</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052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D03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3D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CC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lang w:val="en-US" w:eastAsia="zh-CN" w:bidi="ar"/>
              </w:rPr>
              <w:t>雪亮工程视频监控维护服务</w:t>
            </w:r>
            <w:bookmarkEnd w:id="0"/>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5F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E3E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球机246个、枪机1107个</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76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p>
        </w:tc>
      </w:tr>
    </w:tbl>
    <w:p w14:paraId="5C99CCCD">
      <w:pPr>
        <w:pStyle w:val="2"/>
        <w:spacing w:before="116" w:line="219" w:lineRule="auto"/>
        <w:ind w:left="484"/>
      </w:pPr>
      <w:r>
        <w:rPr>
          <w:b/>
          <w:bCs/>
          <w:spacing w:val="-4"/>
        </w:rPr>
        <w:t>二、服务内容</w:t>
      </w:r>
    </w:p>
    <w:p w14:paraId="0AA42DC8">
      <w:pPr>
        <w:pStyle w:val="2"/>
        <w:spacing w:before="181" w:line="332" w:lineRule="auto"/>
        <w:ind w:firstLine="483"/>
        <w:rPr>
          <w:rFonts w:hint="eastAsia"/>
        </w:rPr>
      </w:pPr>
      <w:r>
        <w:rPr>
          <w:rFonts w:hint="eastAsia"/>
        </w:rPr>
        <w:t>1、定期巡检:包括对雪亮设备的外观、电缆、线路、传感器、摄像头、监控主机等设备进行巡检。</w:t>
      </w:r>
    </w:p>
    <w:p w14:paraId="77E7FEC6">
      <w:pPr>
        <w:spacing w:line="267"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2、设备维护:包括对雪亮设备的软件和硬件进行维护，比如定期进行设备的软件升级固件升级、维护系统的优化和清理等。</w:t>
      </w:r>
    </w:p>
    <w:p w14:paraId="52004AB2">
      <w:pPr>
        <w:spacing w:line="267"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3、应急处理:当设备出现故障或异常时，需要及时进行应急处理，以尽快恢复设备的正常运行状态。</w:t>
      </w:r>
    </w:p>
    <w:p w14:paraId="64DCFB69">
      <w:pPr>
        <w:spacing w:line="267"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4、信息采集:通过对设备运行数据和信息的采集和记录，为后续的维护和管理提供依据。</w:t>
      </w:r>
    </w:p>
    <w:p w14:paraId="3CDDA1B1">
      <w:pPr>
        <w:spacing w:line="267"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5、安全保障:对雪亮设备进行安全检查，确保设备运行的安全可靠。</w:t>
      </w:r>
    </w:p>
    <w:p w14:paraId="23F8A517">
      <w:pPr>
        <w:spacing w:line="267"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6、运维数据分析:通过对设备运维数据进行统计和分析，及时发现并解决潜在的设备问题。</w:t>
      </w:r>
    </w:p>
    <w:p w14:paraId="6463133B">
      <w:pPr>
        <w:spacing w:line="267" w:lineRule="auto"/>
        <w:ind w:firstLine="480" w:firstLineChars="200"/>
      </w:pPr>
      <w:r>
        <w:rPr>
          <w:rFonts w:hint="eastAsia" w:ascii="宋体" w:hAnsi="宋体" w:eastAsia="宋体" w:cs="宋体"/>
          <w:snapToGrid w:val="0"/>
          <w:color w:val="000000"/>
          <w:kern w:val="0"/>
          <w:sz w:val="24"/>
          <w:szCs w:val="24"/>
          <w:lang w:val="en-US" w:eastAsia="en-US" w:bidi="ar-SA"/>
        </w:rPr>
        <w:t>7、定期维护:对设备进行定期的维护保养，包括定期更换消耗品、对设备进行清洗、保养和校准等。</w:t>
      </w:r>
    </w:p>
    <w:p w14:paraId="60FCFD86">
      <w:pPr>
        <w:pStyle w:val="2"/>
        <w:spacing w:line="219" w:lineRule="auto"/>
        <w:ind w:left="480"/>
      </w:pPr>
      <w:r>
        <w:rPr>
          <w:b/>
          <w:bCs/>
          <w:spacing w:val="-4"/>
        </w:rPr>
        <w:t>三、技术要求</w:t>
      </w:r>
    </w:p>
    <w:p w14:paraId="35E8B086">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1、</w:t>
      </w:r>
      <w:r>
        <w:rPr>
          <w:rFonts w:hint="eastAsia" w:ascii="宋体" w:hAnsi="宋体" w:eastAsia="宋体" w:cs="宋体"/>
          <w:lang w:val="en-US" w:eastAsia="en-US"/>
        </w:rPr>
        <w:t>首先体现在视频监控系统的覆盖范围和密度上。系统应能够实现城市主要道路、公共场所、居民小区等关键区域的全面覆盖，确保监控无死角。同时，针对不同区域的特点，如人流量大的商业区、人流量较少的住宅区等，系统应具备灵活的配置能力，以满足不同场景下的监控需求。</w:t>
      </w:r>
    </w:p>
    <w:p w14:paraId="291C72EC">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2、其次</w:t>
      </w:r>
      <w:r>
        <w:rPr>
          <w:rFonts w:hint="eastAsia" w:ascii="宋体" w:hAnsi="宋体" w:eastAsia="宋体" w:cs="宋体"/>
          <w:lang w:val="en-US" w:eastAsia="en-US"/>
        </w:rPr>
        <w:t>包括视频监控系统的数据处理和存储能力。系统应能够对海量视频数据进行实时处理、存储和分析，以便于快速检索和回放。此外，系统还应具备数据备份、容灾恢复等功能，确保数据安全。在软件方面，系统应具备良好的用户界面，操作简便，易于维护。同时，系统还应具备开放性，支持与其他信息系统的集成，以实现数据共享和协同工作。</w:t>
      </w:r>
    </w:p>
    <w:p w14:paraId="0CB1F8E5">
      <w:pPr>
        <w:pStyle w:val="2"/>
        <w:spacing w:before="181" w:line="332" w:lineRule="auto"/>
        <w:ind w:firstLine="483"/>
        <w:rPr>
          <w:rFonts w:hint="default" w:ascii="宋体" w:hAnsi="宋体" w:eastAsia="宋体" w:cs="宋体"/>
          <w:lang w:val="en-US" w:eastAsia="zh-CN"/>
        </w:rPr>
      </w:pPr>
      <w:r>
        <w:rPr>
          <w:rFonts w:hint="eastAsia" w:ascii="宋体" w:hAnsi="宋体" w:eastAsia="宋体" w:cs="宋体"/>
          <w:lang w:val="en-US" w:eastAsia="zh-CN"/>
        </w:rPr>
        <w:t>3、设立专门的服务咨询中心，提供免费的服务热线电话，接受系统故障保修、使用帮助要求、业务和技术咨询、服务投诉等。该服务咨询中心应该7×24小时全天候运行，配备足够的咨询人员或技术工程师，热线电话的拨通率应达到95%以上。在热线电话发生故障情况下，提供其它备份的方便和迅速的联系方式。</w:t>
      </w:r>
    </w:p>
    <w:p w14:paraId="0DFEF38A">
      <w:pPr>
        <w:pStyle w:val="2"/>
        <w:spacing w:before="185" w:line="220" w:lineRule="auto"/>
        <w:ind w:left="503"/>
        <w:rPr>
          <w:rFonts w:hint="default" w:eastAsia="宋体"/>
          <w:lang w:val="en-US" w:eastAsia="zh-CN"/>
        </w:rPr>
      </w:pPr>
      <w:r>
        <w:rPr>
          <w:b/>
          <w:bCs/>
          <w:spacing w:val="-8"/>
        </w:rPr>
        <w:t>四、</w:t>
      </w:r>
      <w:r>
        <w:rPr>
          <w:rFonts w:hint="eastAsia"/>
          <w:b/>
          <w:bCs/>
          <w:spacing w:val="-8"/>
          <w:lang w:val="en-US" w:eastAsia="zh-CN"/>
        </w:rPr>
        <w:t>维护服务需求</w:t>
      </w:r>
    </w:p>
    <w:p w14:paraId="2046322D">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1、</w:t>
      </w:r>
      <w:r>
        <w:rPr>
          <w:rFonts w:hint="eastAsia" w:ascii="宋体" w:hAnsi="宋体" w:eastAsia="宋体" w:cs="宋体"/>
          <w:lang w:val="en-US" w:eastAsia="en-US"/>
        </w:rPr>
        <w:t>维护单位提供每周7天×24小时的维护保养受理、技术业务咨询服务，技术人员定期对维护对象的光缆、管道进行日常巡检、维护，对网络系统、设备定期进行全面、详尽的检测、诊断及故障排除，保障系统稳定、高效的运行，定期对视频监控系统和设备进行巡检维护保养。</w:t>
      </w:r>
    </w:p>
    <w:p w14:paraId="4A4A775C">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2、</w:t>
      </w:r>
      <w:r>
        <w:rPr>
          <w:rFonts w:hint="eastAsia" w:ascii="宋体" w:hAnsi="宋体" w:eastAsia="宋体" w:cs="宋体"/>
          <w:lang w:val="en-US" w:eastAsia="en-US"/>
        </w:rPr>
        <w:t>在维护期间提供不低于3%的网络终端设备和人像分析前端作为备品备件，提供满足维护需求的网络链路材料和电源材料，如光缆、电源线、网线、水晶头等。</w:t>
      </w:r>
    </w:p>
    <w:p w14:paraId="4A8C58CB">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3、</w:t>
      </w:r>
      <w:r>
        <w:rPr>
          <w:rFonts w:hint="eastAsia" w:ascii="宋体" w:hAnsi="宋体" w:eastAsia="宋体" w:cs="宋体"/>
          <w:lang w:val="en-US" w:eastAsia="en-US"/>
        </w:rPr>
        <w:t>维护单位有固定办公场所，维护车辆至少</w:t>
      </w:r>
      <w:r>
        <w:rPr>
          <w:rFonts w:hint="eastAsia" w:ascii="宋体" w:hAnsi="宋体" w:eastAsia="宋体" w:cs="宋体"/>
          <w:lang w:val="en-US" w:eastAsia="zh-CN"/>
        </w:rPr>
        <w:t>2</w:t>
      </w:r>
      <w:r>
        <w:rPr>
          <w:rFonts w:hint="eastAsia" w:ascii="宋体" w:hAnsi="宋体" w:eastAsia="宋体" w:cs="宋体"/>
          <w:lang w:val="en-US" w:eastAsia="en-US"/>
        </w:rPr>
        <w:t>辆（购买不低于200万元的第三责任险），维护技术人员至少</w:t>
      </w:r>
      <w:r>
        <w:rPr>
          <w:rFonts w:hint="eastAsia" w:ascii="宋体" w:hAnsi="宋体" w:eastAsia="宋体" w:cs="宋体"/>
          <w:lang w:val="en-US" w:eastAsia="zh-CN"/>
        </w:rPr>
        <w:t>8</w:t>
      </w:r>
      <w:r>
        <w:rPr>
          <w:rFonts w:hint="eastAsia" w:ascii="宋体" w:hAnsi="宋体" w:eastAsia="宋体" w:cs="宋体"/>
          <w:lang w:val="en-US" w:eastAsia="en-US"/>
        </w:rPr>
        <w:t>名，专业技术人员持证上岗，配置必要的电工证及登高作业证。</w:t>
      </w:r>
    </w:p>
    <w:p w14:paraId="5C0487CB">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4、</w:t>
      </w:r>
      <w:r>
        <w:rPr>
          <w:rFonts w:hint="eastAsia" w:ascii="宋体" w:hAnsi="宋体" w:eastAsia="宋体" w:cs="宋体"/>
          <w:lang w:val="en-US" w:eastAsia="en-US"/>
        </w:rPr>
        <w:t>维护单位筹备必要的维护辅助材料和维护仪器工具。</w:t>
      </w:r>
    </w:p>
    <w:p w14:paraId="10DC32B4">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5、</w:t>
      </w:r>
      <w:r>
        <w:rPr>
          <w:rFonts w:hint="eastAsia" w:ascii="宋体" w:hAnsi="宋体" w:eastAsia="宋体" w:cs="宋体"/>
          <w:lang w:val="en-US" w:eastAsia="en-US"/>
        </w:rPr>
        <w:t>维护单位购买施工技术人员购买的总保额不少于500万元的不记名施工人员人身意外险，或购买参与本维护项目人员工伤保险。</w:t>
      </w:r>
    </w:p>
    <w:p w14:paraId="6764AA7E">
      <w:pPr>
        <w:pStyle w:val="2"/>
        <w:spacing w:before="181" w:line="332" w:lineRule="auto"/>
        <w:ind w:firstLine="483"/>
        <w:rPr>
          <w:rFonts w:hint="eastAsia" w:ascii="宋体" w:hAnsi="宋体" w:eastAsia="宋体" w:cs="宋体"/>
          <w:b/>
          <w:bCs/>
          <w:lang w:val="en-US" w:eastAsia="zh-CN"/>
        </w:rPr>
      </w:pPr>
      <w:r>
        <w:rPr>
          <w:rFonts w:hint="eastAsia" w:ascii="宋体" w:hAnsi="宋体" w:eastAsia="宋体" w:cs="宋体"/>
          <w:b/>
          <w:bCs/>
          <w:lang w:val="en-US" w:eastAsia="zh-CN"/>
        </w:rPr>
        <w:t>五、其他要求</w:t>
      </w:r>
    </w:p>
    <w:p w14:paraId="2A322C58">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1、</w:t>
      </w:r>
      <w:r>
        <w:rPr>
          <w:rFonts w:hint="eastAsia" w:ascii="宋体" w:hAnsi="宋体" w:eastAsia="宋体" w:cs="宋体"/>
          <w:lang w:val="en-US" w:eastAsia="en-US"/>
        </w:rPr>
        <w:t>根据</w:t>
      </w:r>
      <w:r>
        <w:rPr>
          <w:rFonts w:hint="eastAsia" w:ascii="宋体" w:hAnsi="宋体" w:eastAsia="宋体" w:cs="宋体"/>
          <w:lang w:val="en-US" w:eastAsia="zh-CN"/>
        </w:rPr>
        <w:t>三都县</w:t>
      </w:r>
      <w:r>
        <w:rPr>
          <w:rFonts w:hint="eastAsia" w:ascii="宋体" w:hAnsi="宋体" w:eastAsia="宋体" w:cs="宋体"/>
          <w:lang w:val="en-US" w:eastAsia="en-US"/>
        </w:rPr>
        <w:t>实际情况制定突发、紧急故障的抢修保障措施，保障前段感知设备在突发、紧急的情况下能够合理的、有效的、快速的处理。</w:t>
      </w:r>
    </w:p>
    <w:p w14:paraId="74A7459E">
      <w:pPr>
        <w:pStyle w:val="2"/>
        <w:spacing w:before="181" w:line="332" w:lineRule="auto"/>
        <w:ind w:firstLine="483"/>
        <w:rPr>
          <w:rFonts w:hint="eastAsia" w:ascii="宋体" w:hAnsi="宋体" w:eastAsia="宋体" w:cs="宋体"/>
          <w:lang w:val="en-US" w:eastAsia="en-US"/>
        </w:rPr>
      </w:pPr>
      <w:r>
        <w:rPr>
          <w:rFonts w:hint="eastAsia" w:ascii="宋体" w:hAnsi="宋体" w:eastAsia="宋体" w:cs="宋体"/>
          <w:lang w:val="en-US" w:eastAsia="zh-CN"/>
        </w:rPr>
        <w:t>2、</w:t>
      </w:r>
      <w:r>
        <w:rPr>
          <w:rFonts w:hint="eastAsia" w:ascii="宋体" w:hAnsi="宋体" w:eastAsia="宋体" w:cs="宋体"/>
          <w:lang w:val="en-US" w:eastAsia="en-US"/>
        </w:rPr>
        <w:t>根据</w:t>
      </w:r>
      <w:r>
        <w:rPr>
          <w:rFonts w:hint="eastAsia" w:ascii="宋体" w:hAnsi="宋体" w:eastAsia="宋体" w:cs="宋体"/>
          <w:lang w:val="en-US" w:eastAsia="zh-CN"/>
        </w:rPr>
        <w:t>三都县</w:t>
      </w:r>
      <w:r>
        <w:rPr>
          <w:rFonts w:hint="eastAsia" w:ascii="宋体" w:hAnsi="宋体" w:eastAsia="宋体" w:cs="宋体"/>
          <w:lang w:val="en-US" w:eastAsia="en-US"/>
        </w:rPr>
        <w:t>实际情况制定服务标准指标，量化</w:t>
      </w:r>
      <w:r>
        <w:rPr>
          <w:rFonts w:hint="eastAsia" w:ascii="宋体" w:hAnsi="宋体" w:eastAsia="宋体" w:cs="宋体"/>
          <w:lang w:val="en-US" w:eastAsia="zh-CN"/>
        </w:rPr>
        <w:t>维护</w:t>
      </w:r>
      <w:r>
        <w:rPr>
          <w:rFonts w:hint="eastAsia" w:ascii="宋体" w:hAnsi="宋体" w:eastAsia="宋体" w:cs="宋体"/>
          <w:lang w:val="en-US" w:eastAsia="en-US"/>
        </w:rPr>
        <w:t>服务保障工作并形成服务报告。</w:t>
      </w:r>
    </w:p>
    <w:p w14:paraId="1CF1A0DD">
      <w:pPr>
        <w:pStyle w:val="2"/>
        <w:spacing w:before="181" w:line="332" w:lineRule="auto"/>
        <w:ind w:firstLine="483"/>
        <w:rPr>
          <w:rFonts w:hint="eastAsia" w:ascii="宋体" w:hAnsi="宋体" w:eastAsia="宋体" w:cs="宋体"/>
          <w:lang w:val="en-US" w:eastAsia="en-US"/>
        </w:rPr>
        <w:sectPr>
          <w:pgSz w:w="11906" w:h="16839"/>
          <w:pgMar w:top="400" w:right="1105" w:bottom="400" w:left="1090" w:header="0" w:footer="0" w:gutter="0"/>
          <w:cols w:space="720" w:num="1"/>
        </w:sectPr>
      </w:pPr>
      <w:r>
        <w:rPr>
          <w:rFonts w:hint="eastAsia" w:ascii="宋体" w:hAnsi="宋体" w:eastAsia="宋体" w:cs="宋体"/>
          <w:lang w:val="en-US" w:eastAsia="zh-CN"/>
        </w:rPr>
        <w:t>3</w:t>
      </w:r>
      <w:r>
        <w:rPr>
          <w:rFonts w:hint="eastAsia" w:ascii="宋体" w:hAnsi="宋体" w:eastAsia="宋体" w:cs="宋体"/>
          <w:lang w:val="en-US" w:eastAsia="en-US"/>
        </w:rPr>
        <w:t>、其他未尽事宜由成交供应商与采购人自行商议。</w:t>
      </w:r>
    </w:p>
    <w:p w14:paraId="1C362423">
      <w:pPr>
        <w:spacing w:line="268" w:lineRule="auto"/>
        <w:rPr>
          <w:rFonts w:ascii="Arial"/>
          <w:sz w:val="21"/>
        </w:rPr>
      </w:pPr>
    </w:p>
    <w:p w14:paraId="2945BE48">
      <w:pPr>
        <w:pStyle w:val="2"/>
        <w:spacing w:before="78" w:line="219" w:lineRule="auto"/>
        <w:ind w:left="3970"/>
        <w:outlineLvl w:val="2"/>
      </w:pPr>
      <w:r>
        <w:rPr>
          <w:b/>
          <w:bCs/>
          <w:spacing w:val="-3"/>
        </w:rPr>
        <w:t>第二节</w:t>
      </w:r>
      <w:r>
        <w:rPr>
          <w:spacing w:val="-3"/>
        </w:rPr>
        <w:t xml:space="preserve"> </w:t>
      </w:r>
      <w:r>
        <w:rPr>
          <w:b/>
          <w:bCs/>
          <w:spacing w:val="-3"/>
        </w:rPr>
        <w:t>商务要求</w:t>
      </w:r>
    </w:p>
    <w:p w14:paraId="67EB49EE">
      <w:pPr>
        <w:pStyle w:val="2"/>
        <w:spacing w:before="183" w:line="219" w:lineRule="auto"/>
        <w:ind w:left="492"/>
      </w:pPr>
      <w:r>
        <w:rPr>
          <w:b/>
          <w:bCs/>
          <w:spacing w:val="-4"/>
        </w:rPr>
        <w:t>（一）服务期及服务地点</w:t>
      </w:r>
    </w:p>
    <w:p w14:paraId="707C0825">
      <w:pPr>
        <w:pStyle w:val="2"/>
        <w:spacing w:before="183" w:line="219" w:lineRule="auto"/>
        <w:ind w:left="498"/>
      </w:pPr>
      <w:r>
        <w:rPr>
          <w:spacing w:val="-2"/>
        </w:rPr>
        <w:t>1、服务期：合同签订之日起三年。</w:t>
      </w:r>
    </w:p>
    <w:p w14:paraId="4BAECEDB">
      <w:pPr>
        <w:pStyle w:val="2"/>
        <w:spacing w:before="182" w:line="219" w:lineRule="auto"/>
        <w:ind w:left="483"/>
      </w:pPr>
      <w:r>
        <w:rPr>
          <w:spacing w:val="-1"/>
        </w:rPr>
        <w:t>2、服务地点：</w:t>
      </w:r>
      <w:r>
        <w:rPr>
          <w:rFonts w:hint="eastAsia"/>
          <w:spacing w:val="-1"/>
          <w:lang w:val="en-US" w:eastAsia="zh-CN"/>
        </w:rPr>
        <w:t>三都水族自治县公安局</w:t>
      </w:r>
      <w:r>
        <w:rPr>
          <w:spacing w:val="-1"/>
        </w:rPr>
        <w:t>。</w:t>
      </w:r>
    </w:p>
    <w:p w14:paraId="79D8009E">
      <w:pPr>
        <w:pStyle w:val="2"/>
        <w:spacing w:before="184" w:line="219" w:lineRule="auto"/>
        <w:ind w:left="492"/>
      </w:pPr>
      <w:r>
        <w:rPr>
          <w:b/>
          <w:bCs/>
          <w:spacing w:val="-4"/>
        </w:rPr>
        <w:t>（二）验收标准、规范</w:t>
      </w:r>
    </w:p>
    <w:p w14:paraId="6ACA3F09">
      <w:pPr>
        <w:pStyle w:val="2"/>
        <w:spacing w:before="183" w:line="219" w:lineRule="auto"/>
        <w:ind w:left="482"/>
      </w:pPr>
      <w:r>
        <w:rPr>
          <w:spacing w:val="-1"/>
        </w:rPr>
        <w:t>符合国家相关标准及规范并按合同规定执行。</w:t>
      </w:r>
    </w:p>
    <w:p w14:paraId="6697334B">
      <w:pPr>
        <w:pStyle w:val="2"/>
        <w:spacing w:before="183" w:line="219" w:lineRule="auto"/>
        <w:ind w:left="492"/>
      </w:pPr>
      <w:r>
        <w:rPr>
          <w:b/>
          <w:bCs/>
          <w:spacing w:val="-5"/>
        </w:rPr>
        <w:t>（三）付款方式</w:t>
      </w:r>
    </w:p>
    <w:p w14:paraId="22203B4E">
      <w:pPr>
        <w:pStyle w:val="2"/>
        <w:spacing w:before="1" w:line="218" w:lineRule="auto"/>
        <w:ind w:left="480"/>
        <w:rPr>
          <w:rFonts w:hint="default" w:eastAsia="宋体"/>
          <w:lang w:val="en-US" w:eastAsia="zh-CN"/>
        </w:rPr>
      </w:pPr>
      <w:r>
        <w:rPr>
          <w:b/>
          <w:bCs/>
          <w:spacing w:val="-4"/>
        </w:rPr>
        <w:t>签订合同后，采购人按</w:t>
      </w:r>
      <w:r>
        <w:rPr>
          <w:rFonts w:hint="eastAsia"/>
          <w:b/>
          <w:bCs/>
          <w:spacing w:val="-4"/>
          <w:lang w:val="en-US" w:eastAsia="zh-CN"/>
        </w:rPr>
        <w:t>年度进行付款，一年一付。</w:t>
      </w:r>
    </w:p>
    <w:p w14:paraId="4199AD75">
      <w:pPr>
        <w:pStyle w:val="2"/>
        <w:spacing w:before="183" w:line="219" w:lineRule="auto"/>
        <w:ind w:left="492"/>
      </w:pPr>
      <w:r>
        <w:rPr>
          <w:b/>
          <w:bCs/>
          <w:spacing w:val="-5"/>
        </w:rPr>
        <w:t>（注：款项支付前，成交供应商需提供有效的增值税普通发票及付款资料）。</w:t>
      </w:r>
    </w:p>
    <w:p w14:paraId="6A81230E">
      <w:pPr>
        <w:pStyle w:val="2"/>
        <w:spacing w:before="184" w:line="219" w:lineRule="auto"/>
        <w:ind w:left="492"/>
      </w:pPr>
      <w:r>
        <w:rPr>
          <w:b/>
          <w:bCs/>
          <w:spacing w:val="-5"/>
        </w:rPr>
        <w:t>（四）售后服务</w:t>
      </w:r>
    </w:p>
    <w:p w14:paraId="64DB1884">
      <w:pPr>
        <w:pStyle w:val="2"/>
        <w:spacing w:before="183" w:line="219" w:lineRule="auto"/>
        <w:ind w:left="482"/>
      </w:pPr>
      <w:r>
        <w:rPr>
          <w:spacing w:val="-1"/>
        </w:rPr>
        <w:t>成交供应商须随时配合采购人的工作，及时向采购人汇报情况。</w:t>
      </w:r>
    </w:p>
    <w:p w14:paraId="44F2BC1D">
      <w:pPr>
        <w:pStyle w:val="2"/>
        <w:spacing w:before="184" w:line="220" w:lineRule="auto"/>
        <w:ind w:left="492"/>
      </w:pPr>
      <w:r>
        <w:rPr>
          <w:b/>
          <w:bCs/>
        </w:rPr>
        <w:t>（五）投标有效期：</w:t>
      </w:r>
      <w:r>
        <w:t>投标截止时间起生效，其有效期为</w:t>
      </w:r>
      <w:r>
        <w:rPr>
          <w:u w:val="single" w:color="auto"/>
        </w:rPr>
        <w:t>90</w:t>
      </w:r>
      <w:r>
        <w:rPr>
          <w:spacing w:val="-38"/>
          <w:u w:val="single" w:color="auto"/>
        </w:rPr>
        <w:t xml:space="preserve"> </w:t>
      </w:r>
      <w:r>
        <w:t>天。</w:t>
      </w:r>
    </w:p>
    <w:p w14:paraId="77F4250B">
      <w:pPr>
        <w:pStyle w:val="2"/>
        <w:spacing w:before="182" w:line="220" w:lineRule="auto"/>
        <w:ind w:left="492"/>
      </w:pPr>
      <w:r>
        <w:rPr>
          <w:b/>
          <w:bCs/>
          <w:spacing w:val="-5"/>
        </w:rPr>
        <w:t>（六）其他要求</w:t>
      </w:r>
    </w:p>
    <w:p w14:paraId="7DBB2E8B">
      <w:pPr>
        <w:pStyle w:val="2"/>
        <w:spacing w:before="180" w:line="325" w:lineRule="auto"/>
        <w:ind w:firstLine="497"/>
      </w:pPr>
      <w:r>
        <w:t>1、供应商应按采购文件要求编制报价，若由于供应商原因漏项、漏算、错计</w:t>
      </w:r>
      <w:r>
        <w:rPr>
          <w:spacing w:val="-1"/>
        </w:rPr>
        <w:t>的报价将不</w:t>
      </w:r>
      <w:r>
        <w:t xml:space="preserve"> </w:t>
      </w:r>
      <w:r>
        <w:rPr>
          <w:spacing w:val="-7"/>
        </w:rPr>
        <w:t>予以支付，并认为是对采购人的优惠已包含在报价预算中，一旦成交后不得要求另行调整增加，</w:t>
      </w:r>
      <w:r>
        <w:rPr>
          <w:spacing w:val="11"/>
        </w:rPr>
        <w:t xml:space="preserve"> </w:t>
      </w:r>
      <w:r>
        <w:rPr>
          <w:spacing w:val="-2"/>
        </w:rPr>
        <w:t>并不得以此为由影响项目服务质量，任何因</w:t>
      </w:r>
      <w:r>
        <w:rPr>
          <w:spacing w:val="-3"/>
        </w:rPr>
        <w:t>忽视或误解项目实施现场实际情况而导致的索赔或</w:t>
      </w:r>
      <w:r>
        <w:t xml:space="preserve"> 付款申请将不被批准，若因此对采购人造成损失，采购</w:t>
      </w:r>
      <w:r>
        <w:rPr>
          <w:spacing w:val="-1"/>
        </w:rPr>
        <w:t>人将向成交供应商索赔。</w:t>
      </w:r>
    </w:p>
    <w:p w14:paraId="6F784420">
      <w:pPr>
        <w:pStyle w:val="2"/>
        <w:spacing w:before="183" w:line="289" w:lineRule="auto"/>
        <w:ind w:left="20" w:right="61" w:firstLine="463"/>
      </w:pPr>
      <w:r>
        <w:t>2、供应商应充分考虑服务期间的市场风险和国家政策性调整风险等，在本项目未完成前</w:t>
      </w:r>
      <w:r>
        <w:rPr>
          <w:spacing w:val="13"/>
        </w:rPr>
        <w:t xml:space="preserve"> </w:t>
      </w:r>
      <w:r>
        <w:rPr>
          <w:spacing w:val="-3"/>
        </w:rPr>
        <w:t>的价格一律不作调整。</w:t>
      </w:r>
    </w:p>
    <w:p w14:paraId="74E40422">
      <w:pPr>
        <w:pStyle w:val="2"/>
        <w:spacing w:before="184" w:line="290" w:lineRule="auto"/>
        <w:ind w:left="5" w:right="61" w:firstLine="480"/>
      </w:pPr>
      <w:r>
        <w:t>3、版权：成交供应商应保证采购人在使用该服务/货物或服务/货物的任何一部分时，免</w:t>
      </w:r>
      <w:r>
        <w:rPr>
          <w:spacing w:val="11"/>
        </w:rPr>
        <w:t xml:space="preserve"> </w:t>
      </w:r>
      <w:r>
        <w:rPr>
          <w:spacing w:val="-1"/>
        </w:rPr>
        <w:t>受第三方提出的侵犯其专利权、商标权、著作权或其他知识产权的起诉。</w:t>
      </w:r>
    </w:p>
    <w:p w14:paraId="514269B6">
      <w:pPr>
        <w:pStyle w:val="2"/>
        <w:spacing w:before="184" w:line="289" w:lineRule="auto"/>
        <w:ind w:right="2" w:firstLine="480"/>
      </w:pPr>
      <w:r>
        <w:rPr>
          <w:b/>
          <w:bCs/>
          <w:spacing w:val="-7"/>
        </w:rPr>
        <w:t>4、供应商须承诺成交后不得转包分包本项目，否则采购人有权不支付款项，并终止合同，</w:t>
      </w:r>
      <w:r>
        <w:rPr>
          <w:spacing w:val="15"/>
        </w:rPr>
        <w:t xml:space="preserve"> </w:t>
      </w:r>
      <w:r>
        <w:rPr>
          <w:b/>
          <w:bCs/>
          <w:spacing w:val="-2"/>
        </w:rPr>
        <w:t>对采购人造成影响或损失等一切后果由成交供应</w:t>
      </w:r>
      <w:r>
        <w:rPr>
          <w:b/>
          <w:bCs/>
          <w:spacing w:val="-3"/>
        </w:rPr>
        <w:t>商负责。</w:t>
      </w:r>
    </w:p>
    <w:p w14:paraId="16110ECD">
      <w:pPr>
        <w:pStyle w:val="2"/>
        <w:spacing w:before="183" w:line="219" w:lineRule="auto"/>
        <w:ind w:left="485"/>
      </w:pPr>
      <w:r>
        <w:rPr>
          <w:b/>
          <w:bCs/>
          <w:spacing w:val="-3"/>
        </w:rPr>
        <w:t>5、供应商须提供不虚假应标承诺函，否则视为无效投标。</w:t>
      </w:r>
    </w:p>
    <w:p w14:paraId="626E5EC6">
      <w:pPr>
        <w:pStyle w:val="2"/>
        <w:spacing w:before="185" w:line="289" w:lineRule="auto"/>
        <w:ind w:left="4" w:right="122" w:firstLine="478"/>
      </w:pPr>
      <w:r>
        <w:rPr>
          <w:spacing w:val="-1"/>
        </w:rPr>
        <w:t>6、供应商提供的服务须接受采购人的监督和建议，根据与采购人协商</w:t>
      </w:r>
      <w:r>
        <w:rPr>
          <w:spacing w:val="-2"/>
        </w:rPr>
        <w:t>的意见进行调整，</w:t>
      </w:r>
      <w:r>
        <w:t xml:space="preserve"> </w:t>
      </w:r>
      <w:r>
        <w:rPr>
          <w:spacing w:val="-1"/>
        </w:rPr>
        <w:t>未经采购人允许，不得改变服务质量。</w:t>
      </w:r>
    </w:p>
    <w:p w14:paraId="5ACC4B35">
      <w:pPr>
        <w:pStyle w:val="2"/>
        <w:spacing w:before="183" w:line="219" w:lineRule="auto"/>
        <w:ind w:left="486"/>
      </w:pPr>
      <w:r>
        <w:rPr>
          <w:b/>
          <w:bCs/>
          <w:spacing w:val="-2"/>
        </w:rPr>
        <w:t>7、供应商须承诺若为失信被执行人，按照《省发展改革委</w:t>
      </w:r>
      <w:r>
        <w:rPr>
          <w:b/>
          <w:bCs/>
          <w:spacing w:val="-3"/>
        </w:rPr>
        <w:t>等九部门关于在贵州省公共资</w:t>
      </w:r>
    </w:p>
    <w:p w14:paraId="44EB3F0F">
      <w:pPr>
        <w:spacing w:line="219" w:lineRule="auto"/>
        <w:sectPr>
          <w:pgSz w:w="11906" w:h="16839"/>
          <w:pgMar w:top="400" w:right="1018" w:bottom="400" w:left="1088" w:header="0" w:footer="0" w:gutter="0"/>
          <w:cols w:space="720" w:num="1"/>
        </w:sectPr>
      </w:pPr>
    </w:p>
    <w:p w14:paraId="2D939AAB">
      <w:pPr>
        <w:spacing w:line="267" w:lineRule="auto"/>
        <w:rPr>
          <w:rFonts w:ascii="Arial"/>
          <w:sz w:val="21"/>
        </w:rPr>
      </w:pPr>
    </w:p>
    <w:p w14:paraId="55DEFC52">
      <w:pPr>
        <w:spacing w:line="267" w:lineRule="auto"/>
        <w:rPr>
          <w:rFonts w:ascii="Arial"/>
          <w:sz w:val="21"/>
        </w:rPr>
      </w:pPr>
    </w:p>
    <w:p w14:paraId="5ABE505D">
      <w:pPr>
        <w:spacing w:line="267" w:lineRule="auto"/>
        <w:rPr>
          <w:rFonts w:ascii="Arial"/>
          <w:sz w:val="21"/>
        </w:rPr>
      </w:pPr>
    </w:p>
    <w:p w14:paraId="2978C6B3">
      <w:pPr>
        <w:spacing w:line="268" w:lineRule="auto"/>
        <w:rPr>
          <w:rFonts w:ascii="Arial"/>
          <w:sz w:val="21"/>
        </w:rPr>
      </w:pPr>
    </w:p>
    <w:p w14:paraId="478E4EB4">
      <w:pPr>
        <w:pStyle w:val="2"/>
        <w:spacing w:before="78" w:line="219" w:lineRule="auto"/>
        <w:jc w:val="right"/>
        <w:outlineLvl w:val="1"/>
      </w:pPr>
      <w:r>
        <w:rPr>
          <w:b/>
          <w:bCs/>
          <w:spacing w:val="-5"/>
        </w:rPr>
        <w:t>源交易领域对法院失信被执行人实施信用联合惩戒的通知（黔发改财金〔2019〕1035</w:t>
      </w:r>
      <w:r>
        <w:rPr>
          <w:spacing w:val="-5"/>
        </w:rPr>
        <w:t xml:space="preserve"> </w:t>
      </w:r>
      <w:r>
        <w:rPr>
          <w:b/>
          <w:bCs/>
          <w:spacing w:val="-5"/>
        </w:rPr>
        <w:t>号）》</w:t>
      </w:r>
    </w:p>
    <w:p w14:paraId="6FB713C1">
      <w:pPr>
        <w:pStyle w:val="2"/>
        <w:spacing w:before="183" w:line="219" w:lineRule="auto"/>
        <w:ind w:left="2"/>
      </w:pPr>
      <w:r>
        <w:rPr>
          <w:b/>
          <w:bCs/>
          <w:spacing w:val="-5"/>
        </w:rPr>
        <w:t>文件执行。</w:t>
      </w:r>
    </w:p>
    <w:p w14:paraId="4DE5C69D">
      <w:pPr>
        <w:pStyle w:val="2"/>
        <w:spacing w:before="182" w:line="219" w:lineRule="auto"/>
        <w:ind w:left="481"/>
      </w:pPr>
      <w:r>
        <w:rPr>
          <w:spacing w:val="-1"/>
        </w:rPr>
        <w:t>8、未尽事宜由采购人与成交供应商自行商议。</w:t>
      </w:r>
    </w:p>
    <w:p w14:paraId="35785289">
      <w:pPr>
        <w:spacing w:line="219" w:lineRule="auto"/>
        <w:sectPr>
          <w:pgSz w:w="11906" w:h="16839"/>
          <w:pgMar w:top="400" w:right="1199" w:bottom="400" w:left="1088" w:header="0" w:footer="0" w:gutter="0"/>
          <w:cols w:space="720" w:num="1"/>
        </w:sectPr>
      </w:pPr>
    </w:p>
    <w:p w14:paraId="4157C4E9">
      <w:pPr>
        <w:spacing w:line="278" w:lineRule="auto"/>
        <w:rPr>
          <w:rFonts w:ascii="Arial"/>
          <w:sz w:val="21"/>
        </w:rPr>
      </w:pPr>
    </w:p>
    <w:p w14:paraId="4D35C256">
      <w:pPr>
        <w:spacing w:line="278" w:lineRule="auto"/>
        <w:rPr>
          <w:rFonts w:ascii="Arial"/>
          <w:sz w:val="21"/>
        </w:rPr>
      </w:pPr>
    </w:p>
    <w:p w14:paraId="3C9E7F68">
      <w:pPr>
        <w:spacing w:line="279" w:lineRule="auto"/>
        <w:rPr>
          <w:rFonts w:ascii="Arial"/>
          <w:sz w:val="21"/>
        </w:rPr>
      </w:pPr>
    </w:p>
    <w:p w14:paraId="2360FDB6">
      <w:pPr>
        <w:spacing w:line="279" w:lineRule="auto"/>
        <w:rPr>
          <w:rFonts w:ascii="Arial"/>
          <w:sz w:val="21"/>
        </w:rPr>
      </w:pPr>
    </w:p>
    <w:p w14:paraId="3F5511F4">
      <w:pPr>
        <w:pStyle w:val="2"/>
        <w:spacing w:before="91" w:line="219" w:lineRule="auto"/>
        <w:ind w:left="3815"/>
        <w:rPr>
          <w:sz w:val="28"/>
          <w:szCs w:val="28"/>
        </w:rPr>
      </w:pPr>
      <w:r>
        <w:rPr>
          <w:b/>
          <w:bCs/>
          <w:spacing w:val="-4"/>
          <w:sz w:val="28"/>
          <w:szCs w:val="28"/>
        </w:rPr>
        <w:t>第三章</w:t>
      </w:r>
      <w:r>
        <w:rPr>
          <w:spacing w:val="-4"/>
          <w:sz w:val="28"/>
          <w:szCs w:val="28"/>
        </w:rPr>
        <w:t xml:space="preserve"> </w:t>
      </w:r>
      <w:r>
        <w:rPr>
          <w:b/>
          <w:bCs/>
          <w:spacing w:val="-4"/>
          <w:sz w:val="28"/>
          <w:szCs w:val="28"/>
        </w:rPr>
        <w:t>协商办法</w:t>
      </w:r>
    </w:p>
    <w:p w14:paraId="31D9DC7A">
      <w:pPr>
        <w:pStyle w:val="2"/>
        <w:spacing w:before="232" w:line="219" w:lineRule="auto"/>
        <w:ind w:left="476"/>
      </w:pPr>
      <w:r>
        <w:rPr>
          <w:spacing w:val="-2"/>
        </w:rPr>
        <w:t>本项目按照财政部</w:t>
      </w:r>
      <w:r>
        <w:rPr>
          <w:spacing w:val="-45"/>
        </w:rPr>
        <w:t xml:space="preserve"> </w:t>
      </w:r>
      <w:r>
        <w:rPr>
          <w:spacing w:val="-2"/>
        </w:rPr>
        <w:t>74</w:t>
      </w:r>
      <w:r>
        <w:rPr>
          <w:spacing w:val="-45"/>
        </w:rPr>
        <w:t xml:space="preserve"> </w:t>
      </w:r>
      <w:r>
        <w:rPr>
          <w:spacing w:val="-2"/>
        </w:rPr>
        <w:t>号令有关规定进行协商。</w:t>
      </w:r>
    </w:p>
    <w:p w14:paraId="04C21454">
      <w:pPr>
        <w:pStyle w:val="2"/>
        <w:spacing w:before="183" w:line="360" w:lineRule="auto"/>
        <w:ind w:right="77" w:firstLine="474"/>
      </w:pPr>
      <w:r>
        <w:rPr>
          <w:spacing w:val="-3"/>
        </w:rPr>
        <w:t>采用单一来源采购方式采购的，采购人、采购代理机构应当组织具有相关经验的专业人员</w:t>
      </w:r>
      <w:r>
        <w:rPr>
          <w:spacing w:val="13"/>
        </w:rPr>
        <w:t xml:space="preserve"> </w:t>
      </w:r>
      <w:r>
        <w:rPr>
          <w:spacing w:val="-1"/>
        </w:rPr>
        <w:t>与供应商商定合理的成交价格并保证采购项目质量。</w:t>
      </w:r>
    </w:p>
    <w:p w14:paraId="123F9624">
      <w:pPr>
        <w:pStyle w:val="2"/>
        <w:spacing w:before="1" w:line="218" w:lineRule="auto"/>
        <w:jc w:val="right"/>
      </w:pPr>
      <w:r>
        <w:rPr>
          <w:b/>
          <w:bCs/>
          <w:spacing w:val="-3"/>
          <w:u w:val="single" w:color="auto"/>
        </w:rPr>
        <w:t>特别说明：本公示内容仅为采购人对本项目的需求公示，具体内容以最</w:t>
      </w:r>
      <w:r>
        <w:rPr>
          <w:b/>
          <w:bCs/>
          <w:spacing w:val="-4"/>
          <w:u w:val="single" w:color="auto"/>
        </w:rPr>
        <w:t>终采购文件为准。</w:t>
      </w:r>
    </w:p>
    <w:sectPr>
      <w:pgSz w:w="11906" w:h="16839"/>
      <w:pgMar w:top="400" w:right="1001" w:bottom="400" w:left="109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FB52">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A86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3D532"/>
    <w:multiLevelType w:val="multilevel"/>
    <w:tmpl w:val="9153D532"/>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3"/>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D0D1B78"/>
    <w:rsid w:val="6AB431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0"/>
    <w:pPr>
      <w:keepNext/>
      <w:keepLines/>
      <w:numPr>
        <w:ilvl w:val="2"/>
        <w:numId w:val="1"/>
      </w:numPr>
      <w:spacing w:line="413" w:lineRule="auto"/>
      <w:ind w:left="0" w:firstLine="562"/>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3206</Words>
  <Characters>3424</Characters>
  <TotalTime>0</TotalTime>
  <ScaleCrop>false</ScaleCrop>
  <LinksUpToDate>false</LinksUpToDate>
  <CharactersWithSpaces>3549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2025-05-27T14:46:00Z</dcterms:created>
  <dc:creator>天道</dc:creator>
  <cp:lastModifiedBy>粒</cp:lastModifiedBy>
  <dcterms:modified xsi:type="dcterms:W3CDTF">2025-07-01T15:21:44Z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2025-07-01T21:16:05Z</vt:filetime>
  </property>
  <property fmtid="{D5CDD505-2E9C-101B-9397-08002B2CF9AE}" pid="4" name="KSOTemplateDocerSaveRecord">
    <vt:lpwstr>eyJoZGlkIjoiY2ZjZGQyZmFhYmE1MTVmNjI4YTkzZWZiMDVkZTczMzUiLCJ1c2VySWQiOiIyNDM5NTQwNzQifQ==</vt:lpwstr>
  </property>
  <property fmtid="{D5CDD505-2E9C-101B-9397-08002B2CF9AE}" pid="5" name="KSOProductBuildVer">
    <vt:lpwstr>2052-12.1.0.21915</vt:lpwstr>
  </property>
  <property fmtid="{D5CDD505-2E9C-101B-9397-08002B2CF9AE}" pid="6" name="ICV">
    <vt:lpwstr>66E6B32CAF834FF49EDBCBFA5C7DDBA3_13</vt:lpwstr>
  </property>
</Properties>
</file>