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outlineLvl w:val="9"/>
        <w:rPr>
          <w:rFonts w:hint="eastAsia" w:ascii="仿宋" w:hAnsi="仿宋" w:eastAsia="仿宋" w:cs="仿宋"/>
          <w:color w:val="auto"/>
          <w:sz w:val="24"/>
          <w:szCs w:val="24"/>
        </w:rPr>
      </w:pPr>
      <w:r>
        <w:rPr>
          <w:rFonts w:hint="eastAsia" w:ascii="仿宋" w:hAnsi="仿宋" w:eastAsia="仿宋" w:cs="仿宋"/>
          <w:color w:val="auto"/>
          <w:spacing w:val="-2"/>
          <w:position w:val="1"/>
          <w:sz w:val="24"/>
          <w:szCs w:val="24"/>
        </w:rPr>
        <w:t>申请</w:t>
      </w:r>
      <w:r>
        <w:rPr>
          <w:rFonts w:hint="eastAsia" w:ascii="仿宋" w:hAnsi="仿宋" w:eastAsia="仿宋" w:cs="仿宋"/>
          <w:color w:val="auto"/>
          <w:spacing w:val="-1"/>
          <w:position w:val="1"/>
          <w:sz w:val="24"/>
          <w:szCs w:val="24"/>
        </w:rPr>
        <w:t>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outlineLvl w:val="9"/>
        <w:rPr>
          <w:rFonts w:hint="eastAsia" w:ascii="仿宋" w:hAnsi="仿宋" w:eastAsia="仿宋" w:cs="仿宋"/>
          <w:b/>
          <w:bCs/>
          <w:color w:val="auto"/>
          <w:sz w:val="24"/>
          <w:szCs w:val="24"/>
          <w:lang w:eastAsia="zh-CN"/>
        </w:rPr>
      </w:pPr>
      <w:r>
        <w:rPr>
          <w:rFonts w:hint="eastAsia" w:ascii="仿宋" w:hAnsi="仿宋" w:eastAsia="仿宋" w:cs="仿宋"/>
          <w:b w:val="0"/>
          <w:bCs w:val="0"/>
          <w:color w:val="auto"/>
          <w:spacing w:val="6"/>
          <w:sz w:val="24"/>
          <w:szCs w:val="24"/>
          <w:lang w:val="en-US" w:eastAsia="zh-CN"/>
        </w:rPr>
        <w:t>1.</w:t>
      </w:r>
      <w:r>
        <w:rPr>
          <w:rFonts w:hint="eastAsia" w:ascii="仿宋" w:hAnsi="仿宋" w:eastAsia="仿宋" w:cs="仿宋"/>
          <w:b w:val="0"/>
          <w:bCs w:val="0"/>
          <w:color w:val="auto"/>
          <w:spacing w:val="6"/>
          <w:sz w:val="24"/>
          <w:szCs w:val="24"/>
        </w:rPr>
        <w:t>必须符合《中华人民共和国政府采购法》第二十二条规定</w:t>
      </w:r>
      <w:r>
        <w:rPr>
          <w:rFonts w:hint="eastAsia" w:ascii="仿宋" w:hAnsi="仿宋" w:eastAsia="仿宋" w:cs="仿宋"/>
          <w:b w:val="0"/>
          <w:bCs w:val="0"/>
          <w:color w:val="auto"/>
          <w:spacing w:val="6"/>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lang w:eastAsia="zh-CN"/>
        </w:rPr>
        <w:t>1.1</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lang w:eastAsia="zh-CN"/>
        </w:rPr>
        <w:t>具有独立承担民事责任的能力：提供合法有效的工商营业执照、税务登记证、组织机构代码证或三证合一（或多证合一）的营业执照或事业单位法人证书、组织机构代码证或社会团体法人登记证书副本等属于法人或其他组织的证明材料</w:t>
      </w:r>
      <w:r>
        <w:rPr>
          <w:rFonts w:hint="eastAsia" w:ascii="仿宋" w:hAnsi="仿宋" w:eastAsia="仿宋" w:cs="仿宋"/>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1.2 具有良好的商业信誉和健全的财务会计制度：提供2023年度或2024年度经审计的财务报告，或提供2025年以来基本开户银行出具的资信证明，部分其他组织和自然人，没有经审计的财务报告，可以提供银行出具的资信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lang w:eastAsia="zh-CN"/>
        </w:rPr>
        <w:t>1.</w:t>
      </w:r>
      <w:r>
        <w:rPr>
          <w:rFonts w:hint="eastAsia" w:ascii="仿宋" w:hAnsi="仿宋" w:eastAsia="仿宋" w:cs="仿宋"/>
          <w:color w:val="auto"/>
          <w:spacing w:val="6"/>
          <w:sz w:val="24"/>
          <w:szCs w:val="24"/>
          <w:lang w:val="en-US" w:eastAsia="zh-CN"/>
        </w:rPr>
        <w:t xml:space="preserve">3 </w:t>
      </w:r>
      <w:r>
        <w:rPr>
          <w:rFonts w:hint="eastAsia" w:ascii="仿宋" w:hAnsi="仿宋" w:eastAsia="仿宋" w:cs="仿宋"/>
          <w:color w:val="auto"/>
          <w:sz w:val="24"/>
          <w:szCs w:val="24"/>
        </w:rPr>
        <w:t>提供履行合同所需设备和专业技术能力证明材料：自行提供具备履行合同所需设备和专业技术能力的承诺；</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4 </w:t>
      </w:r>
      <w:r>
        <w:rPr>
          <w:rFonts w:hint="eastAsia" w:ascii="仿宋" w:hAnsi="仿宋" w:eastAsia="仿宋" w:cs="仿宋"/>
          <w:color w:val="auto"/>
          <w:sz w:val="24"/>
          <w:szCs w:val="24"/>
        </w:rPr>
        <w:t>投标</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须有依法缴纳税收的良好记录：提供202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1月</w:t>
      </w:r>
      <w:r>
        <w:rPr>
          <w:rFonts w:hint="eastAsia" w:ascii="仿宋" w:hAnsi="仿宋" w:eastAsia="仿宋" w:cs="仿宋"/>
          <w:color w:val="auto"/>
          <w:sz w:val="24"/>
          <w:szCs w:val="24"/>
        </w:rPr>
        <w:t>以来任意1个月及以上发生并缴纳的完税凭证或银行回单（未发生缴税情况的，须提供零申报证明，即提供企业所在地税务部门出具的申报证明或加盖税务机关公章的申报表或自行在网上申报系统中打印的已申报报表）。依法免税的，须提供投标</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所在地税务部门出具的相应证明；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5 </w:t>
      </w:r>
      <w:r>
        <w:rPr>
          <w:rFonts w:hint="eastAsia" w:ascii="仿宋" w:hAnsi="仿宋" w:eastAsia="仿宋" w:cs="仿宋"/>
          <w:color w:val="auto"/>
          <w:sz w:val="24"/>
          <w:szCs w:val="24"/>
        </w:rPr>
        <w:t>投标</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须有依法缴纳社会保障资金的良好记录：提供202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1月</w:t>
      </w:r>
      <w:r>
        <w:rPr>
          <w:rFonts w:hint="eastAsia" w:ascii="仿宋" w:hAnsi="仿宋" w:eastAsia="仿宋" w:cs="仿宋"/>
          <w:color w:val="auto"/>
          <w:sz w:val="24"/>
          <w:szCs w:val="24"/>
        </w:rPr>
        <w:t>以来任意1个月及以上缴纳社会保险的有效证明（以加盖社保机构公章的社保资金收据凭证或加盖社保机构公章的本单位社保缴纳花名册或向税务机关缴纳社保费的完税证明或加盖社保机构公章的其他社保交纳证明为准）。依法不需要缴纳社会保障资金的，须提供投标</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所在地社保部门出具的相应证明；</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sz w:val="24"/>
          <w:szCs w:val="24"/>
        </w:rPr>
        <w:t>参加政府采购活动前三年内，在经营活动中没有重大违法记录的书面声明函（重大违法记录指因违法经营受到刑事处罚或者责令停产停业、吊销许可证或者执照、较大数额罚款等行政处罚）：自行提供声明函</w:t>
      </w:r>
      <w:r>
        <w:rPr>
          <w:rFonts w:hint="eastAsia" w:ascii="仿宋" w:hAnsi="仿宋" w:eastAsia="仿宋" w:cs="仿宋"/>
          <w:color w:val="auto"/>
          <w:sz w:val="24"/>
          <w:szCs w:val="24"/>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 法律、行政法规规定的其他条件：投标人须提供：在“信用中国”网站（</w:t>
      </w:r>
      <w:r>
        <w:rPr>
          <w:rFonts w:hint="eastAsia" w:ascii="仿宋" w:hAnsi="仿宋" w:eastAsia="仿宋" w:cs="仿宋"/>
          <w:color w:val="auto"/>
          <w:sz w:val="24"/>
          <w:szCs w:val="24"/>
          <w:u w:val="none"/>
          <w:lang w:val="en-US" w:eastAsia="zh-CN"/>
        </w:rPr>
        <w:t>WWW.CREDITCHINA.GOV.CN</w:t>
      </w:r>
      <w:r>
        <w:rPr>
          <w:rFonts w:hint="eastAsia" w:ascii="仿宋" w:hAnsi="仿宋" w:eastAsia="仿宋" w:cs="仿宋"/>
          <w:color w:val="auto"/>
          <w:sz w:val="24"/>
          <w:szCs w:val="24"/>
          <w:lang w:val="en-US" w:eastAsia="zh-CN"/>
        </w:rPr>
        <w:t>）、中国政府采购网（</w:t>
      </w:r>
      <w:r>
        <w:rPr>
          <w:rFonts w:hint="eastAsia" w:ascii="仿宋" w:hAnsi="仿宋" w:eastAsia="仿宋" w:cs="仿宋"/>
          <w:color w:val="auto"/>
          <w:sz w:val="24"/>
          <w:szCs w:val="24"/>
          <w:u w:val="none"/>
          <w:lang w:val="en-US" w:eastAsia="zh-CN"/>
        </w:rPr>
        <w:t>WWW.CCGP.GOV.CN</w:t>
      </w:r>
      <w:r>
        <w:rPr>
          <w:rFonts w:hint="eastAsia" w:ascii="仿宋" w:hAnsi="仿宋" w:eastAsia="仿宋" w:cs="仿宋"/>
          <w:color w:val="auto"/>
          <w:sz w:val="24"/>
          <w:szCs w:val="24"/>
          <w:lang w:val="en-US" w:eastAsia="zh-CN"/>
        </w:rPr>
        <w:t>）等渠道查询中未被列入失信被执行人名单、重大税收违法案件当事人名单、政府采购严重违法失信行为记录名单中，如被列入失信被执行人、重大税收违法案件当事人名单、政府采购严重违法失信行为记录名单中的投标人取消其投标资格，并承担由此造成的一切法律责任及后果。（注：提供截图日期须为报名开始日至投标截止日之间）</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 法定代表人参加本项目投标的需上传本人有效身份证原件扫描件及法定代表人身份证明原件扫描件；委托代理人参加本项目投标的需上传法人授权委托书原件扫描件和本人有效身份证原件扫描件；</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b/>
          <w:bCs/>
          <w:color w:val="auto"/>
          <w:sz w:val="24"/>
          <w:szCs w:val="24"/>
          <w:lang w:eastAsia="zh-CN"/>
        </w:rPr>
      </w:pPr>
      <w:r>
        <w:rPr>
          <w:rFonts w:hint="eastAsia" w:ascii="仿宋" w:hAnsi="仿宋" w:eastAsia="仿宋" w:cs="仿宋"/>
          <w:color w:val="auto"/>
          <w:sz w:val="28"/>
          <w:szCs w:val="28"/>
          <w:lang w:eastAsia="zh-CN"/>
        </w:rPr>
        <w:t xml:space="preserve"> </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本项目的特定资格要求：</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lang w:eastAsia="zh-CN"/>
        </w:rPr>
        <w:t xml:space="preserve"> 具备主管部门核发的甲级地质灾害评估和治理工程勘查设计资质、乙级及以上测绘资质（专业类别需包含摄影测量与遥感）</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2.2本项目接受联合体投标，联合体人数不超过2家。如为联合体投标, 联合体牵头人为</w:t>
      </w:r>
      <w:r>
        <w:rPr>
          <w:rFonts w:hint="eastAsia" w:ascii="仿宋" w:hAnsi="仿宋" w:eastAsia="仿宋" w:cs="仿宋"/>
          <w:b/>
          <w:bCs/>
          <w:color w:val="auto"/>
          <w:sz w:val="24"/>
          <w:szCs w:val="24"/>
          <w:highlight w:val="none"/>
          <w:lang w:val="en-US" w:eastAsia="zh-CN"/>
        </w:rPr>
        <w:t>勘察设计</w:t>
      </w:r>
      <w:r>
        <w:rPr>
          <w:rFonts w:hint="eastAsia" w:ascii="仿宋" w:hAnsi="仿宋" w:eastAsia="仿宋" w:cs="仿宋"/>
          <w:b/>
          <w:bCs/>
          <w:color w:val="auto"/>
          <w:sz w:val="24"/>
          <w:szCs w:val="24"/>
          <w:lang w:val="en-US" w:eastAsia="zh-CN"/>
        </w:rPr>
        <w:t>单位，联合体投标的应遵守下列要求：</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（1）联合体各方应按采购文件提供的格式签订联合体协议书，明确联合体牵头人和各方权利义务，本项目联合体牵头人应为</w:t>
      </w:r>
      <w:r>
        <w:rPr>
          <w:rFonts w:hint="eastAsia" w:ascii="仿宋" w:hAnsi="仿宋" w:eastAsia="仿宋" w:cs="仿宋"/>
          <w:b/>
          <w:bCs/>
          <w:color w:val="auto"/>
          <w:sz w:val="24"/>
          <w:szCs w:val="24"/>
          <w:highlight w:val="none"/>
          <w:lang w:val="en-US" w:eastAsia="zh-CN"/>
        </w:rPr>
        <w:t>勘察设计</w:t>
      </w:r>
      <w:r>
        <w:rPr>
          <w:rFonts w:hint="eastAsia" w:ascii="仿宋" w:hAnsi="仿宋" w:eastAsia="仿宋" w:cs="仿宋"/>
          <w:b/>
          <w:bCs/>
          <w:color w:val="auto"/>
          <w:sz w:val="24"/>
          <w:szCs w:val="24"/>
          <w:lang w:val="en-US" w:eastAsia="zh-CN"/>
        </w:rPr>
        <w:t>单位；</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（2）需要投标人签字或盖章的，均由联合体牵头人负责，本项目联合体牵头人应为</w:t>
      </w:r>
      <w:r>
        <w:rPr>
          <w:rFonts w:hint="eastAsia" w:ascii="仿宋" w:hAnsi="仿宋" w:eastAsia="仿宋" w:cs="仿宋"/>
          <w:b/>
          <w:bCs/>
          <w:color w:val="auto"/>
          <w:sz w:val="24"/>
          <w:szCs w:val="24"/>
          <w:highlight w:val="none"/>
          <w:lang w:val="en-US" w:eastAsia="zh-CN"/>
        </w:rPr>
        <w:t>勘察设计</w:t>
      </w:r>
      <w:r>
        <w:rPr>
          <w:rFonts w:hint="eastAsia" w:ascii="仿宋" w:hAnsi="仿宋" w:eastAsia="仿宋" w:cs="仿宋"/>
          <w:b/>
          <w:bCs/>
          <w:color w:val="auto"/>
          <w:sz w:val="24"/>
          <w:szCs w:val="24"/>
          <w:lang w:val="en-US" w:eastAsia="zh-CN"/>
        </w:rPr>
        <w:t>单位（“法定代表人身份证明”和“联合体协议书”按采购文件格式签字并盖章），但其他成员需承担连带责任。</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color w:val="auto"/>
          <w:sz w:val="28"/>
          <w:szCs w:val="28"/>
          <w:lang w:eastAsia="zh-CN"/>
        </w:rPr>
      </w:pPr>
      <w:r>
        <w:rPr>
          <w:rFonts w:hint="eastAsia" w:ascii="仿宋" w:hAnsi="仿宋" w:eastAsia="仿宋" w:cs="仿宋"/>
          <w:b/>
          <w:bCs/>
          <w:color w:val="auto"/>
          <w:sz w:val="24"/>
          <w:szCs w:val="24"/>
          <w:lang w:val="en-US" w:eastAsia="zh-CN"/>
        </w:rPr>
        <w:t>（3）联合体各成员在投标、签约与履行合同过程中，仍附有连带的和独立的法律责任。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pacing w:val="-2"/>
          <w:sz w:val="24"/>
          <w:szCs w:val="24"/>
        </w:rPr>
      </w:pPr>
      <w:r>
        <w:rPr>
          <w:rFonts w:hint="eastAsia" w:ascii="仿宋" w:hAnsi="仿宋" w:eastAsia="仿宋" w:cs="仿宋"/>
          <w:b w:val="0"/>
          <w:bCs w:val="0"/>
          <w:snapToGrid w:val="0"/>
          <w:color w:val="auto"/>
          <w:kern w:val="0"/>
          <w:sz w:val="24"/>
          <w:szCs w:val="24"/>
          <w:lang w:val="en-US" w:eastAsia="zh-CN"/>
        </w:rPr>
        <w:t>3</w:t>
      </w:r>
      <w:r>
        <w:rPr>
          <w:rFonts w:hint="eastAsia" w:ascii="仿宋" w:hAnsi="仿宋" w:eastAsia="仿宋" w:cs="仿宋"/>
          <w:b w:val="0"/>
          <w:bCs w:val="0"/>
          <w:snapToGrid w:val="0"/>
          <w:color w:val="auto"/>
          <w:kern w:val="0"/>
          <w:sz w:val="24"/>
          <w:szCs w:val="24"/>
        </w:rPr>
        <w:t>.</w:t>
      </w:r>
      <w:r>
        <w:rPr>
          <w:rFonts w:hint="eastAsia" w:ascii="仿宋" w:hAnsi="仿宋" w:eastAsia="仿宋" w:cs="仿宋"/>
          <w:b w:val="0"/>
          <w:bCs w:val="0"/>
          <w:color w:val="auto"/>
          <w:sz w:val="24"/>
          <w:szCs w:val="24"/>
          <w:highlight w:val="none"/>
        </w:rPr>
        <w:t>落实政府采购政策需满足的资格要求：</w:t>
      </w:r>
      <w:r>
        <w:rPr>
          <w:rFonts w:hint="eastAsia" w:ascii="仿宋" w:hAnsi="仿宋" w:eastAsia="仿宋" w:cs="仿宋"/>
          <w:b w:val="0"/>
          <w:bCs w:val="0"/>
          <w:color w:val="auto"/>
          <w:sz w:val="24"/>
          <w:szCs w:val="24"/>
          <w:highlight w:val="none"/>
          <w:lang w:eastAsia="zh-CN"/>
        </w:rPr>
        <w:t>已落实</w:t>
      </w:r>
    </w:p>
    <w:p>
      <w:pPr>
        <w:rPr>
          <w:rFonts w:hint="eastAsia" w:ascii="仿宋" w:hAnsi="仿宋" w:eastAsia="仿宋" w:cs="仿宋"/>
          <w:b/>
          <w:bCs/>
          <w:color w:val="auto"/>
          <w:spacing w:val="7"/>
          <w:sz w:val="36"/>
          <w:szCs w:val="36"/>
        </w:rPr>
      </w:pPr>
      <w:r>
        <w:rPr>
          <w:rFonts w:hint="eastAsia" w:ascii="仿宋" w:hAnsi="仿宋" w:eastAsia="仿宋" w:cs="仿宋"/>
          <w:b/>
          <w:bCs/>
          <w:color w:val="auto"/>
          <w:spacing w:val="7"/>
          <w:sz w:val="36"/>
          <w:szCs w:val="36"/>
        </w:rPr>
        <w:br w:type="page"/>
      </w:r>
    </w:p>
    <w:p>
      <w:pPr>
        <w:jc w:val="center"/>
        <w:outlineLvl w:val="0"/>
        <w:rPr>
          <w:rFonts w:hint="eastAsia" w:ascii="仿宋" w:hAnsi="仿宋" w:eastAsia="仿宋" w:cs="仿宋"/>
          <w:b/>
          <w:bCs/>
          <w:color w:val="auto"/>
          <w:spacing w:val="7"/>
          <w:sz w:val="36"/>
          <w:szCs w:val="36"/>
        </w:rPr>
      </w:pPr>
      <w:r>
        <w:rPr>
          <w:rFonts w:hint="eastAsia" w:ascii="仿宋" w:hAnsi="仿宋" w:eastAsia="仿宋" w:cs="仿宋"/>
          <w:b/>
          <w:bCs/>
          <w:color w:val="auto"/>
          <w:spacing w:val="7"/>
          <w:sz w:val="36"/>
          <w:szCs w:val="36"/>
        </w:rPr>
        <w:t>招标内容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firstLine="45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2.1 标的物：</w:t>
      </w:r>
      <w:r>
        <w:rPr>
          <w:rFonts w:hint="eastAsia" w:ascii="仿宋" w:hAnsi="仿宋" w:eastAsia="仿宋" w:cs="仿宋"/>
          <w:color w:val="auto"/>
          <w:spacing w:val="-6"/>
          <w:sz w:val="24"/>
          <w:szCs w:val="24"/>
          <w:lang w:eastAsia="zh-CN"/>
        </w:rPr>
        <w:t>金沙县地质灾害精细化调查承担单位采购；</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48"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8"/>
          <w:sz w:val="24"/>
          <w:szCs w:val="24"/>
        </w:rPr>
        <w:t>2.</w:t>
      </w:r>
      <w:r>
        <w:rPr>
          <w:rFonts w:hint="eastAsia" w:ascii="仿宋" w:hAnsi="仿宋" w:eastAsia="仿宋" w:cs="仿宋"/>
          <w:color w:val="auto"/>
          <w:spacing w:val="-7"/>
          <w:sz w:val="24"/>
          <w:szCs w:val="24"/>
        </w:rPr>
        <w:t>2</w:t>
      </w:r>
      <w:r>
        <w:rPr>
          <w:rFonts w:hint="eastAsia" w:ascii="仿宋" w:hAnsi="仿宋" w:eastAsia="仿宋" w:cs="仿宋"/>
          <w:color w:val="auto"/>
          <w:spacing w:val="-4"/>
          <w:sz w:val="24"/>
          <w:szCs w:val="24"/>
        </w:rPr>
        <w:t xml:space="preserve"> 采购服务</w:t>
      </w:r>
      <w:r>
        <w:rPr>
          <w:rFonts w:hint="eastAsia" w:ascii="仿宋" w:hAnsi="仿宋" w:eastAsia="仿宋" w:cs="仿宋"/>
          <w:color w:val="auto"/>
          <w:spacing w:val="-4"/>
          <w:sz w:val="24"/>
          <w:szCs w:val="24"/>
          <w:lang w:eastAsia="zh-CN"/>
        </w:rPr>
        <w:t>需求</w:t>
      </w:r>
      <w:r>
        <w:rPr>
          <w:rFonts w:hint="eastAsia" w:ascii="仿宋" w:hAnsi="仿宋" w:eastAsia="仿宋" w:cs="仿宋"/>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（一）参照《贵州省地质灾害精细化调查评价技术要求（试行）》的技术标准，在充分收集已有资料的基础上，以遥感、地面调查、测绘和工程勘查为主要手段，以人员居住区为主要调查对象，开展 1:10000 地质灾害精细化调查工作。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1.划分地质单元（斜坡单元、沟谷单元、灾害链单元等调查靶区）。在充分收集与分析已有资料的基础上，结合工程地质分区、斜坡地质结构、微地貌、遥感异常区及人口分布，进行地质单元划分。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2.孕灾地质环境条件调查。详细调查地质单元内可能会形成地质灾害的地形地貌、地质构造、岩（土）体工程地质特征、斜坡结构（特别是坡度 10-35°的顺向斜坡区域）、覆盖层和风化层厚度、沟谷流域特征、地表与地下水活动等孕灾地质条件及气象、水文、人类工程活动等诱发因素。</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3.地质灾害隐患调查。查明调查区地质灾害隐患点和风险斜坡的基本特征，分析其诱发因素、危害范围、危害程度、成灾模式及承灾体（受威胁人口及重要基础设施），进一步查清地质灾害隐患和风险斜坡的分布条件和成灾机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4.地质灾害风险评价。开展地质灾害易发性、危险性评价，科学划定危害范围和危害对象，判定地质灾害隐患点及风险斜坡的风险等级，编制风险调查评价相关图件，建立地质灾害隐患点和风险斜坡的管控台账，提出具体的防范措施建议。</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5.成果整理及归档。根据地质灾害隐患点和风险斜坡的类型、规模、危险性及风险等级等，编制地质灾害隐患点和风险斜坡分布图、风险管控图册，并建立调查成果数据库。</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6.完成金沙县（全县）0.2米精度的正射图的制作。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7.完成市自然资源和规划局根据实际工作需要安排的该项工作的其他临时性工作。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（二）计划工期：2026年4月底前</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（三）质量要求：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1.编制的调查成果资料须通过市自然资源和规划局组织的专家审查；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2.建立通过专家审查的调查成果数据库，提交金沙县（全县）0.2米精度的正射图。</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outlineLvl w:val="9"/>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2.</w:t>
      </w:r>
      <w:r>
        <w:rPr>
          <w:rFonts w:hint="eastAsia" w:ascii="仿宋" w:hAnsi="仿宋" w:eastAsia="仿宋" w:cs="仿宋"/>
          <w:color w:val="auto"/>
          <w:spacing w:val="-3"/>
          <w:sz w:val="24"/>
          <w:szCs w:val="24"/>
          <w:lang w:val="en-US" w:eastAsia="zh-CN"/>
        </w:rPr>
        <w:t>3</w:t>
      </w:r>
      <w:r>
        <w:rPr>
          <w:rFonts w:hint="eastAsia" w:ascii="仿宋" w:hAnsi="仿宋" w:eastAsia="仿宋" w:cs="仿宋"/>
          <w:color w:val="auto"/>
          <w:spacing w:val="-3"/>
          <w:sz w:val="24"/>
          <w:szCs w:val="24"/>
        </w:rPr>
        <w:t xml:space="preserve"> 项目服务时间：</w:t>
      </w:r>
      <w:bookmarkStart w:id="0" w:name="OLE_LINK1"/>
      <w:r>
        <w:rPr>
          <w:rFonts w:hint="eastAsia" w:ascii="仿宋" w:hAnsi="仿宋" w:eastAsia="仿宋" w:cs="仿宋"/>
          <w:color w:val="auto"/>
          <w:spacing w:val="-3"/>
          <w:sz w:val="24"/>
          <w:szCs w:val="24"/>
        </w:rPr>
        <w:t>2026年4月底前</w:t>
      </w:r>
      <w:bookmarkEnd w:id="0"/>
      <w:r>
        <w:rPr>
          <w:rFonts w:hint="eastAsia" w:ascii="仿宋" w:hAnsi="仿宋" w:eastAsia="仿宋" w:cs="仿宋"/>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2.</w:t>
      </w:r>
      <w:r>
        <w:rPr>
          <w:rFonts w:hint="eastAsia" w:ascii="仿宋" w:hAnsi="仿宋" w:eastAsia="仿宋" w:cs="仿宋"/>
          <w:color w:val="auto"/>
          <w:spacing w:val="-1"/>
          <w:sz w:val="24"/>
          <w:szCs w:val="24"/>
          <w:lang w:val="en-US" w:eastAsia="zh-CN"/>
        </w:rPr>
        <w:t>4</w:t>
      </w:r>
      <w:r>
        <w:rPr>
          <w:rFonts w:hint="eastAsia" w:ascii="仿宋" w:hAnsi="仿宋" w:eastAsia="仿宋" w:cs="仿宋"/>
          <w:color w:val="auto"/>
          <w:spacing w:val="-1"/>
          <w:sz w:val="24"/>
          <w:szCs w:val="24"/>
        </w:rPr>
        <w:t xml:space="preserve"> 服务地点：采购人指定地点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 xml:space="preserve"> 付款方式：合同中约</w:t>
      </w:r>
      <w:r>
        <w:rPr>
          <w:rFonts w:hint="eastAsia" w:ascii="仿宋" w:hAnsi="仿宋" w:eastAsia="仿宋" w:cs="仿宋"/>
          <w:color w:val="auto"/>
          <w:sz w:val="24"/>
          <w:szCs w:val="24"/>
        </w:rPr>
        <w:t>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仿宋" w:hAnsi="仿宋" w:eastAsia="仿宋" w:cs="仿宋"/>
          <w:b w:val="0"/>
          <w:bCs w:val="0"/>
          <w:color w:val="auto"/>
          <w:spacing w:val="-3"/>
          <w:sz w:val="24"/>
          <w:szCs w:val="24"/>
        </w:rPr>
      </w:pPr>
      <w:r>
        <w:rPr>
          <w:rFonts w:hint="eastAsia" w:ascii="仿宋" w:hAnsi="仿宋" w:eastAsia="仿宋" w:cs="仿宋"/>
          <w:b w:val="0"/>
          <w:bCs w:val="0"/>
          <w:color w:val="auto"/>
          <w:spacing w:val="-4"/>
          <w:sz w:val="24"/>
          <w:szCs w:val="24"/>
        </w:rPr>
        <w:t>敬</w:t>
      </w:r>
      <w:r>
        <w:rPr>
          <w:rFonts w:hint="eastAsia" w:ascii="仿宋" w:hAnsi="仿宋" w:eastAsia="仿宋" w:cs="仿宋"/>
          <w:b w:val="0"/>
          <w:bCs w:val="0"/>
          <w:color w:val="auto"/>
          <w:spacing w:val="-3"/>
          <w:sz w:val="24"/>
          <w:szCs w:val="24"/>
        </w:rPr>
        <w:t>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76" w:firstLineChars="200"/>
        <w:textAlignment w:val="baseline"/>
        <w:rPr>
          <w:rFonts w:hint="eastAsia" w:ascii="仿宋" w:hAnsi="仿宋" w:eastAsia="仿宋" w:cs="仿宋"/>
          <w:color w:val="auto"/>
          <w:spacing w:val="-1"/>
          <w:sz w:val="24"/>
          <w:szCs w:val="24"/>
        </w:rPr>
      </w:pPr>
      <w:r>
        <w:rPr>
          <w:rFonts w:hint="eastAsia" w:ascii="仿宋" w:hAnsi="仿宋" w:eastAsia="仿宋" w:cs="仿宋"/>
          <w:snapToGrid w:val="0"/>
          <w:color w:val="auto"/>
          <w:spacing w:val="-1"/>
          <w:kern w:val="0"/>
          <w:sz w:val="24"/>
          <w:szCs w:val="24"/>
        </w:rPr>
        <w:t>1.</w:t>
      </w:r>
      <w:r>
        <w:rPr>
          <w:rFonts w:hint="eastAsia" w:ascii="仿宋" w:hAnsi="仿宋" w:eastAsia="仿宋" w:cs="仿宋"/>
          <w:color w:val="auto"/>
          <w:spacing w:val="-1"/>
          <w:sz w:val="24"/>
          <w:szCs w:val="24"/>
          <w:lang w:eastAsia="zh-CN"/>
        </w:rPr>
        <w:t>投标人</w:t>
      </w:r>
      <w:r>
        <w:rPr>
          <w:rFonts w:hint="eastAsia" w:ascii="仿宋" w:hAnsi="仿宋" w:eastAsia="仿宋" w:cs="仿宋"/>
          <w:color w:val="auto"/>
          <w:spacing w:val="-1"/>
          <w:sz w:val="24"/>
          <w:szCs w:val="24"/>
        </w:rPr>
        <w:t>必须承诺按采购人的相关规定、标准以及采购项目的实际需求完</w:t>
      </w:r>
      <w:r>
        <w:rPr>
          <w:rFonts w:hint="eastAsia" w:ascii="仿宋" w:hAnsi="仿宋" w:eastAsia="仿宋" w:cs="仿宋"/>
          <w:color w:val="auto"/>
          <w:sz w:val="24"/>
          <w:szCs w:val="24"/>
        </w:rPr>
        <w:t>成</w:t>
      </w:r>
      <w:r>
        <w:rPr>
          <w:rFonts w:hint="eastAsia" w:ascii="仿宋" w:hAnsi="仿宋" w:eastAsia="仿宋" w:cs="仿宋"/>
          <w:color w:val="auto"/>
          <w:spacing w:val="-2"/>
          <w:sz w:val="24"/>
          <w:szCs w:val="24"/>
        </w:rPr>
        <w:t>本项</w:t>
      </w:r>
      <w:r>
        <w:rPr>
          <w:rFonts w:hint="eastAsia" w:ascii="仿宋" w:hAnsi="仿宋" w:eastAsia="仿宋" w:cs="仿宋"/>
          <w:color w:val="auto"/>
          <w:spacing w:val="-1"/>
          <w:sz w:val="24"/>
          <w:szCs w:val="24"/>
        </w:rPr>
        <w:t>目的相关服务等；</w:t>
      </w:r>
      <w:r>
        <w:rPr>
          <w:rFonts w:hint="eastAsia" w:ascii="仿宋" w:hAnsi="仿宋" w:eastAsia="仿宋" w:cs="仿宋"/>
          <w:b/>
          <w:bCs/>
          <w:color w:val="auto"/>
          <w:spacing w:val="-1"/>
          <w:sz w:val="24"/>
          <w:szCs w:val="24"/>
          <w:lang w:eastAsia="zh-CN"/>
        </w:rPr>
        <w:t>（符合性审查项）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default" w:ascii="仿宋" w:hAnsi="仿宋" w:eastAsia="仿宋" w:cs="仿宋"/>
          <w:color w:val="auto"/>
          <w:spacing w:val="-2"/>
          <w:sz w:val="24"/>
          <w:szCs w:val="24"/>
          <w:lang w:val="en-US" w:eastAsia="zh-CN"/>
        </w:rPr>
      </w:pPr>
      <w:r>
        <w:rPr>
          <w:rFonts w:hint="eastAsia" w:ascii="仿宋" w:hAnsi="仿宋" w:eastAsia="仿宋" w:cs="仿宋"/>
          <w:snapToGrid w:val="0"/>
          <w:color w:val="auto"/>
          <w:spacing w:val="-1"/>
          <w:kern w:val="0"/>
          <w:sz w:val="24"/>
          <w:szCs w:val="24"/>
        </w:rPr>
        <w:t>2.</w:t>
      </w:r>
      <w:r>
        <w:rPr>
          <w:rFonts w:hint="eastAsia" w:ascii="仿宋" w:hAnsi="仿宋" w:eastAsia="仿宋" w:cs="仿宋"/>
          <w:snapToGrid w:val="0"/>
          <w:color w:val="auto"/>
          <w:spacing w:val="-1"/>
          <w:kern w:val="0"/>
          <w:sz w:val="24"/>
          <w:szCs w:val="24"/>
          <w:lang w:eastAsia="zh-CN"/>
        </w:rPr>
        <w:t>投标人必须承诺若有幸中标，将在</w:t>
      </w:r>
      <w:r>
        <w:rPr>
          <w:rFonts w:hint="eastAsia" w:ascii="仿宋" w:hAnsi="仿宋" w:eastAsia="仿宋" w:cs="仿宋"/>
          <w:snapToGrid w:val="0"/>
          <w:color w:val="auto"/>
          <w:spacing w:val="-1"/>
          <w:kern w:val="0"/>
          <w:sz w:val="24"/>
          <w:szCs w:val="24"/>
          <w:lang w:val="en-US" w:eastAsia="zh-CN"/>
        </w:rPr>
        <w:t>30日历天内到招标代理机构领取</w:t>
      </w:r>
      <w:r>
        <w:rPr>
          <w:rFonts w:hint="eastAsia" w:ascii="仿宋" w:hAnsi="仿宋" w:eastAsia="仿宋" w:cs="仿宋"/>
          <w:color w:val="auto"/>
          <w:spacing w:val="-2"/>
          <w:sz w:val="24"/>
          <w:szCs w:val="24"/>
        </w:rPr>
        <w:t>中标 (成交) 通知书</w:t>
      </w:r>
      <w:r>
        <w:rPr>
          <w:rFonts w:hint="eastAsia" w:ascii="仿宋" w:hAnsi="仿宋" w:eastAsia="仿宋" w:cs="仿宋"/>
          <w:color w:val="auto"/>
          <w:spacing w:val="-2"/>
          <w:sz w:val="24"/>
          <w:szCs w:val="24"/>
          <w:lang w:eastAsia="zh-CN"/>
        </w:rPr>
        <w:t>并与采购人签订合同。若超过</w:t>
      </w:r>
      <w:r>
        <w:rPr>
          <w:rFonts w:hint="eastAsia" w:ascii="仿宋" w:hAnsi="仿宋" w:eastAsia="仿宋" w:cs="仿宋"/>
          <w:color w:val="auto"/>
          <w:spacing w:val="-2"/>
          <w:sz w:val="24"/>
          <w:szCs w:val="24"/>
          <w:lang w:val="en-US" w:eastAsia="zh-CN"/>
        </w:rPr>
        <w:t>30日历天未领取</w:t>
      </w:r>
      <w:r>
        <w:rPr>
          <w:rFonts w:hint="eastAsia" w:ascii="仿宋" w:hAnsi="仿宋" w:eastAsia="仿宋" w:cs="仿宋"/>
          <w:color w:val="auto"/>
          <w:spacing w:val="-2"/>
          <w:sz w:val="24"/>
          <w:szCs w:val="24"/>
        </w:rPr>
        <w:t>中标 (成交) 通知书</w:t>
      </w:r>
      <w:r>
        <w:rPr>
          <w:rFonts w:hint="eastAsia" w:ascii="仿宋" w:hAnsi="仿宋" w:eastAsia="仿宋" w:cs="仿宋"/>
          <w:color w:val="auto"/>
          <w:spacing w:val="-1"/>
          <w:sz w:val="24"/>
          <w:szCs w:val="24"/>
          <w:lang w:eastAsia="zh-CN"/>
        </w:rPr>
        <w:t>则认为投标人自愿放弃中标资格。</w:t>
      </w:r>
      <w:r>
        <w:rPr>
          <w:rFonts w:hint="eastAsia" w:ascii="仿宋" w:hAnsi="仿宋" w:eastAsia="仿宋" w:cs="仿宋"/>
          <w:b/>
          <w:bCs/>
          <w:color w:val="auto"/>
          <w:spacing w:val="-1"/>
          <w:sz w:val="24"/>
          <w:szCs w:val="24"/>
          <w:lang w:eastAsia="zh-CN"/>
        </w:rPr>
        <w:t>（符合性审查项）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pacing w:val="-4"/>
          <w:sz w:val="24"/>
          <w:szCs w:val="24"/>
          <w:highlight w:val="none"/>
          <w:lang w:val="en-US" w:eastAsia="zh-CN"/>
        </w:rPr>
        <w:t>3.</w:t>
      </w:r>
      <w:r>
        <w:rPr>
          <w:rFonts w:hint="eastAsia" w:ascii="仿宋" w:hAnsi="仿宋" w:eastAsia="仿宋" w:cs="仿宋"/>
          <w:b w:val="0"/>
          <w:bCs w:val="0"/>
          <w:color w:val="auto"/>
          <w:spacing w:val="-2"/>
          <w:sz w:val="24"/>
          <w:szCs w:val="24"/>
          <w:highlight w:val="none"/>
        </w:rPr>
        <w:t>采购代理服务费为:S-P</w:t>
      </w:r>
      <w:r>
        <w:rPr>
          <w:rFonts w:hint="eastAsia" w:ascii="仿宋" w:hAnsi="仿宋" w:eastAsia="仿宋" w:cs="仿宋"/>
          <w:b w:val="0"/>
          <w:bCs w:val="0"/>
          <w:color w:val="auto"/>
          <w:spacing w:val="-2"/>
          <w:sz w:val="24"/>
          <w:szCs w:val="24"/>
          <w:highlight w:val="none"/>
          <w:lang w:val="en-US" w:eastAsia="zh-CN"/>
        </w:rPr>
        <w:t>*</w:t>
      </w:r>
      <w:r>
        <w:rPr>
          <w:rFonts w:hint="eastAsia" w:ascii="仿宋" w:hAnsi="仿宋" w:eastAsia="仿宋" w:cs="仿宋"/>
          <w:b w:val="0"/>
          <w:bCs w:val="0"/>
          <w:color w:val="auto"/>
          <w:spacing w:val="-2"/>
          <w:sz w:val="24"/>
          <w:szCs w:val="24"/>
          <w:highlight w:val="none"/>
        </w:rPr>
        <w:t>1.48%</w:t>
      </w:r>
      <w:r>
        <w:rPr>
          <w:rFonts w:hint="eastAsia" w:ascii="仿宋" w:hAnsi="仿宋" w:eastAsia="仿宋" w:cs="仿宋"/>
          <w:b w:val="0"/>
          <w:bCs w:val="0"/>
          <w:color w:val="auto"/>
          <w:spacing w:val="-2"/>
          <w:sz w:val="24"/>
          <w:szCs w:val="24"/>
          <w:highlight w:val="none"/>
          <w:lang w:val="en-US" w:eastAsia="zh-CN"/>
        </w:rPr>
        <w:t>*</w:t>
      </w:r>
      <w:r>
        <w:rPr>
          <w:rFonts w:hint="eastAsia" w:ascii="仿宋" w:hAnsi="仿宋" w:eastAsia="仿宋" w:cs="仿宋"/>
          <w:b w:val="0"/>
          <w:bCs w:val="0"/>
          <w:color w:val="auto"/>
          <w:spacing w:val="-2"/>
          <w:sz w:val="24"/>
          <w:szCs w:val="24"/>
          <w:highlight w:val="none"/>
        </w:rPr>
        <w:t>60%(式中S为代理服务费，P为中标金额)，由中标单位在领取中标通知书时向代理机构支付</w:t>
      </w:r>
      <w:r>
        <w:rPr>
          <w:rFonts w:hint="eastAsia" w:ascii="仿宋" w:hAnsi="仿宋" w:eastAsia="仿宋" w:cs="仿宋"/>
          <w:color w:val="auto"/>
          <w:spacing w:val="-2"/>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outlineLvl w:val="9"/>
        <w:rPr>
          <w:rFonts w:hint="eastAsia" w:ascii="仿宋" w:hAnsi="仿宋" w:eastAsia="仿宋" w:cs="仿宋"/>
          <w:b/>
          <w:bCs/>
          <w:color w:val="auto"/>
          <w:spacing w:val="-1"/>
          <w:sz w:val="24"/>
          <w:szCs w:val="24"/>
          <w:lang w:eastAsia="zh-CN"/>
        </w:rPr>
      </w:pPr>
      <w:r>
        <w:rPr>
          <w:rFonts w:hint="eastAsia" w:ascii="仿宋" w:hAnsi="仿宋" w:eastAsia="仿宋" w:cs="仿宋"/>
          <w:color w:val="auto"/>
          <w:spacing w:val="-4"/>
          <w:sz w:val="24"/>
          <w:szCs w:val="24"/>
          <w:lang w:val="en-US" w:eastAsia="zh-CN"/>
        </w:rPr>
        <w:t>4.</w:t>
      </w:r>
      <w:r>
        <w:rPr>
          <w:rFonts w:hint="eastAsia" w:ascii="仿宋" w:hAnsi="仿宋" w:eastAsia="仿宋" w:cs="仿宋"/>
          <w:color w:val="auto"/>
          <w:spacing w:val="-4"/>
          <w:sz w:val="24"/>
          <w:szCs w:val="24"/>
        </w:rPr>
        <w:t>投标有效期</w:t>
      </w:r>
      <w:r>
        <w:rPr>
          <w:rFonts w:hint="eastAsia" w:ascii="仿宋" w:hAnsi="仿宋" w:eastAsia="仿宋" w:cs="仿宋"/>
          <w:color w:val="auto"/>
          <w:spacing w:val="-3"/>
          <w:sz w:val="24"/>
          <w:szCs w:val="24"/>
        </w:rPr>
        <w:t>承</w:t>
      </w:r>
      <w:r>
        <w:rPr>
          <w:rFonts w:hint="eastAsia" w:ascii="仿宋" w:hAnsi="仿宋" w:eastAsia="仿宋" w:cs="仿宋"/>
          <w:color w:val="auto"/>
          <w:spacing w:val="-2"/>
          <w:sz w:val="24"/>
          <w:szCs w:val="24"/>
        </w:rPr>
        <w:t>诺：投标截止时间起生效，其有效期为60日历天</w:t>
      </w:r>
      <w:r>
        <w:rPr>
          <w:rFonts w:hint="eastAsia" w:ascii="仿宋" w:hAnsi="仿宋" w:eastAsia="仿宋" w:cs="仿宋"/>
          <w:color w:val="auto"/>
          <w:spacing w:val="-2"/>
          <w:sz w:val="24"/>
          <w:szCs w:val="24"/>
          <w:lang w:eastAsia="zh-CN"/>
        </w:rPr>
        <w:t>。</w:t>
      </w:r>
      <w:r>
        <w:rPr>
          <w:rFonts w:hint="eastAsia" w:ascii="仿宋" w:hAnsi="仿宋" w:eastAsia="仿宋" w:cs="仿宋"/>
          <w:b/>
          <w:bCs/>
          <w:color w:val="auto"/>
          <w:spacing w:val="-1"/>
          <w:sz w:val="24"/>
          <w:szCs w:val="24"/>
          <w:lang w:eastAsia="zh-CN"/>
        </w:rPr>
        <w:t>（符合性审查项）</w:t>
      </w:r>
    </w:p>
    <w:p>
      <w:pPr>
        <w:keepNext/>
        <w:keepLines/>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仿宋" w:hAnsi="仿宋" w:eastAsia="仿宋" w:cs="仿宋"/>
          <w:b/>
          <w:bCs/>
          <w:color w:val="auto"/>
          <w:spacing w:val="-1"/>
          <w:sz w:val="24"/>
          <w:szCs w:val="24"/>
          <w:lang w:val="en-US" w:eastAsia="zh-CN"/>
        </w:rPr>
      </w:pPr>
      <w:r>
        <w:rPr>
          <w:rFonts w:hint="eastAsia" w:ascii="仿宋" w:hAnsi="仿宋" w:eastAsia="仿宋" w:cs="仿宋"/>
          <w:b w:val="0"/>
          <w:bCs w:val="0"/>
          <w:color w:val="auto"/>
          <w:spacing w:val="-1"/>
          <w:sz w:val="24"/>
          <w:szCs w:val="24"/>
          <w:lang w:val="en-US" w:eastAsia="zh-CN"/>
        </w:rPr>
        <w:t>5.投标人须承诺：若我单位有幸中标，到代理机构领取中标通知书时提供纸质版投标文件一正两副（与上传交易中心版本一致）。</w:t>
      </w:r>
      <w:r>
        <w:rPr>
          <w:rFonts w:hint="eastAsia" w:ascii="仿宋" w:hAnsi="仿宋" w:eastAsia="仿宋" w:cs="仿宋"/>
          <w:b/>
          <w:bCs/>
          <w:color w:val="auto"/>
          <w:spacing w:val="-1"/>
          <w:sz w:val="24"/>
          <w:szCs w:val="24"/>
          <w:lang w:val="en-US" w:eastAsia="zh-CN"/>
        </w:rPr>
        <w:t>（符合性审查）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color w:val="auto"/>
          <w:spacing w:val="-5"/>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lang w:val="en-US" w:eastAsia="zh-CN"/>
        </w:rPr>
      </w:pPr>
      <w:r>
        <w:rPr>
          <w:rFonts w:hint="eastAsia" w:ascii="仿宋" w:hAnsi="仿宋" w:eastAsia="仿宋" w:cs="仿宋"/>
          <w:color w:val="auto"/>
          <w:spacing w:val="-5"/>
          <w:sz w:val="24"/>
          <w:szCs w:val="24"/>
          <w:lang w:val="en-US" w:eastAsia="zh-CN"/>
        </w:rPr>
        <w:t>评标方法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0" w:firstLineChars="200"/>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5"/>
          <w:sz w:val="24"/>
          <w:szCs w:val="24"/>
        </w:rPr>
        <w:t>本次招标采用的是</w:t>
      </w:r>
      <w:r>
        <w:rPr>
          <w:rFonts w:hint="eastAsia" w:ascii="仿宋" w:hAnsi="仿宋" w:eastAsia="仿宋" w:cs="仿宋"/>
          <w:b/>
          <w:bCs/>
          <w:color w:val="auto"/>
          <w:spacing w:val="-5"/>
          <w:sz w:val="24"/>
          <w:szCs w:val="24"/>
          <w:u w:val="single"/>
        </w:rPr>
        <w:t xml:space="preserve"> 100 </w:t>
      </w:r>
      <w:r>
        <w:rPr>
          <w:rFonts w:hint="eastAsia" w:ascii="仿宋" w:hAnsi="仿宋" w:eastAsia="仿宋" w:cs="仿宋"/>
          <w:color w:val="auto"/>
          <w:spacing w:val="-5"/>
          <w:sz w:val="24"/>
          <w:szCs w:val="24"/>
        </w:rPr>
        <w:t>分制最高分确定中标的</w:t>
      </w:r>
      <w:r>
        <w:rPr>
          <w:rFonts w:hint="eastAsia" w:ascii="仿宋" w:hAnsi="仿宋" w:eastAsia="仿宋" w:cs="仿宋"/>
          <w:b/>
          <w:bCs/>
          <w:color w:val="auto"/>
          <w:spacing w:val="-5"/>
          <w:sz w:val="24"/>
          <w:szCs w:val="24"/>
        </w:rPr>
        <w:t>综合评分法</w:t>
      </w:r>
      <w:r>
        <w:rPr>
          <w:rFonts w:hint="eastAsia" w:ascii="仿宋" w:hAnsi="仿宋" w:eastAsia="仿宋" w:cs="仿宋"/>
          <w:color w:val="auto"/>
          <w:spacing w:val="-5"/>
          <w:sz w:val="24"/>
          <w:szCs w:val="24"/>
        </w:rPr>
        <w:t>，由评标委</w:t>
      </w:r>
      <w:r>
        <w:rPr>
          <w:rFonts w:hint="eastAsia" w:ascii="仿宋" w:hAnsi="仿宋" w:eastAsia="仿宋" w:cs="仿宋"/>
          <w:color w:val="auto"/>
          <w:spacing w:val="-2"/>
          <w:sz w:val="24"/>
          <w:szCs w:val="24"/>
        </w:rPr>
        <w:t>员会在</w:t>
      </w:r>
      <w:r>
        <w:rPr>
          <w:rFonts w:hint="eastAsia" w:ascii="仿宋" w:hAnsi="仿宋" w:eastAsia="仿宋" w:cs="仿宋"/>
          <w:color w:val="auto"/>
          <w:spacing w:val="-1"/>
          <w:sz w:val="24"/>
          <w:szCs w:val="24"/>
        </w:rPr>
        <w:t>开评标会议上现场评定中标候选人。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lang w:val="en-US" w:eastAsia="zh-CN"/>
        </w:rPr>
      </w:pPr>
      <w:r>
        <w:rPr>
          <w:rFonts w:hint="eastAsia" w:ascii="仿宋" w:hAnsi="仿宋" w:eastAsia="仿宋" w:cs="仿宋"/>
          <w:color w:val="auto"/>
          <w:spacing w:val="-2"/>
          <w:sz w:val="24"/>
          <w:szCs w:val="24"/>
        </w:rPr>
        <w:t>投标人的技术与商务分由评标委员会根据其提交的《商务投标</w:t>
      </w:r>
      <w:r>
        <w:rPr>
          <w:rFonts w:hint="eastAsia" w:ascii="仿宋" w:hAnsi="仿宋" w:eastAsia="仿宋" w:cs="仿宋"/>
          <w:color w:val="auto"/>
          <w:spacing w:val="-1"/>
          <w:sz w:val="24"/>
          <w:szCs w:val="24"/>
        </w:rPr>
        <w:t>书》</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2"/>
          <w:sz w:val="24"/>
          <w:szCs w:val="24"/>
        </w:rPr>
        <w:t>《技术投标</w:t>
      </w:r>
      <w:r>
        <w:rPr>
          <w:rFonts w:hint="eastAsia" w:ascii="仿宋" w:hAnsi="仿宋" w:eastAsia="仿宋" w:cs="仿宋"/>
          <w:color w:val="auto"/>
          <w:spacing w:val="-1"/>
          <w:sz w:val="24"/>
          <w:szCs w:val="24"/>
        </w:rPr>
        <w:t>书》按照本招标文件规定的</w:t>
      </w:r>
      <w:r>
        <w:rPr>
          <w:rFonts w:hint="eastAsia" w:ascii="仿宋" w:hAnsi="仿宋" w:eastAsia="仿宋" w:cs="仿宋"/>
          <w:color w:val="auto"/>
          <w:sz w:val="24"/>
          <w:szCs w:val="24"/>
        </w:rPr>
        <w:t>评分标准评出后的算术平均值。评标委员会成员对</w:t>
      </w:r>
      <w:r>
        <w:rPr>
          <w:rFonts w:hint="eastAsia" w:ascii="仿宋" w:hAnsi="仿宋" w:eastAsia="仿宋" w:cs="仿宋"/>
          <w:color w:val="auto"/>
          <w:spacing w:val="-2"/>
          <w:sz w:val="24"/>
          <w:szCs w:val="24"/>
        </w:rPr>
        <w:t>投标人给予的技术商务分值与算术平均值的比值超过±30% (含30%) 时，该成</w:t>
      </w:r>
      <w:r>
        <w:rPr>
          <w:rFonts w:hint="eastAsia" w:ascii="仿宋" w:hAnsi="仿宋" w:eastAsia="仿宋" w:cs="仿宋"/>
          <w:color w:val="auto"/>
          <w:spacing w:val="-1"/>
          <w:sz w:val="24"/>
          <w:szCs w:val="24"/>
        </w:rPr>
        <w:t>员应对其评分作出说明，评</w:t>
      </w:r>
      <w:r>
        <w:rPr>
          <w:rFonts w:hint="eastAsia" w:ascii="仿宋" w:hAnsi="仿宋" w:eastAsia="仿宋" w:cs="仿宋"/>
          <w:color w:val="auto"/>
          <w:sz w:val="24"/>
          <w:szCs w:val="24"/>
        </w:rPr>
        <w:t>标委员会其他成员和监督席不认可其说明时，该评</w:t>
      </w:r>
      <w:r>
        <w:rPr>
          <w:rFonts w:hint="eastAsia" w:ascii="仿宋" w:hAnsi="仿宋" w:eastAsia="仿宋" w:cs="仿宋"/>
          <w:color w:val="auto"/>
          <w:spacing w:val="-1"/>
          <w:sz w:val="24"/>
          <w:szCs w:val="24"/>
        </w:rPr>
        <w:t>分无效。投标人的价格分将</w:t>
      </w:r>
      <w:r>
        <w:rPr>
          <w:rFonts w:hint="eastAsia" w:ascii="仿宋" w:hAnsi="仿宋" w:eastAsia="仿宋" w:cs="仿宋"/>
          <w:color w:val="auto"/>
          <w:sz w:val="24"/>
          <w:szCs w:val="24"/>
        </w:rPr>
        <w:t>由自己在《投标报价书》中填报的投标报价按照本</w:t>
      </w:r>
      <w:r>
        <w:rPr>
          <w:rFonts w:hint="eastAsia" w:ascii="仿宋" w:hAnsi="仿宋" w:eastAsia="仿宋" w:cs="仿宋"/>
          <w:color w:val="auto"/>
          <w:spacing w:val="-1"/>
          <w:sz w:val="24"/>
          <w:szCs w:val="24"/>
        </w:rPr>
        <w:t>招标文件规定的计算方法计</w:t>
      </w:r>
      <w:r>
        <w:rPr>
          <w:rFonts w:hint="eastAsia" w:ascii="仿宋" w:hAnsi="仿宋" w:eastAsia="仿宋" w:cs="仿宋"/>
          <w:color w:val="auto"/>
          <w:sz w:val="24"/>
          <w:szCs w:val="24"/>
        </w:rPr>
        <w:t>算获得；</w:t>
      </w:r>
      <w:r>
        <w:rPr>
          <w:rFonts w:hint="eastAsia" w:ascii="仿宋" w:hAnsi="仿宋" w:eastAsia="仿宋" w:cs="仿宋"/>
          <w:b/>
          <w:bCs/>
          <w:color w:val="auto"/>
          <w:sz w:val="24"/>
          <w:szCs w:val="24"/>
        </w:rPr>
        <w:t>综合分为投标人的技术与商务分与报价分</w:t>
      </w:r>
      <w:r>
        <w:rPr>
          <w:rFonts w:hint="eastAsia" w:ascii="仿宋" w:hAnsi="仿宋" w:eastAsia="仿宋" w:cs="仿宋"/>
          <w:b/>
          <w:bCs/>
          <w:color w:val="auto"/>
          <w:spacing w:val="-5"/>
          <w:sz w:val="24"/>
          <w:szCs w:val="24"/>
        </w:rPr>
        <w:t>之</w:t>
      </w:r>
      <w:r>
        <w:rPr>
          <w:rFonts w:hint="eastAsia" w:ascii="仿宋" w:hAnsi="仿宋" w:eastAsia="仿宋" w:cs="仿宋"/>
          <w:b/>
          <w:bCs/>
          <w:color w:val="auto"/>
          <w:spacing w:val="-3"/>
          <w:sz w:val="24"/>
          <w:szCs w:val="24"/>
        </w:rPr>
        <w:t>和。</w:t>
      </w:r>
    </w:p>
    <w:p>
      <w:pPr>
        <w:pStyle w:val="2"/>
        <w:rPr>
          <w:rFonts w:hint="eastAsia"/>
          <w:lang w:eastAsia="zh-CN"/>
        </w:r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YjJkMjdlMTk3M2NhZTdmYWVhMDExY2M3MzZhZjUifQ=="/>
  </w:docVars>
  <w:rsids>
    <w:rsidRoot w:val="71DE2A92"/>
    <w:rsid w:val="077B0E97"/>
    <w:rsid w:val="09ED4B5E"/>
    <w:rsid w:val="18B75F9D"/>
    <w:rsid w:val="18D20E39"/>
    <w:rsid w:val="23E777F8"/>
    <w:rsid w:val="334537BC"/>
    <w:rsid w:val="43B70F05"/>
    <w:rsid w:val="4AAC6846"/>
    <w:rsid w:val="4D5D3FC8"/>
    <w:rsid w:val="51234C5D"/>
    <w:rsid w:val="595455FD"/>
    <w:rsid w:val="59E548D2"/>
    <w:rsid w:val="60866845"/>
    <w:rsid w:val="6CAD14DA"/>
    <w:rsid w:val="70F2168A"/>
    <w:rsid w:val="71DE2A92"/>
    <w:rsid w:val="75C15E3F"/>
    <w:rsid w:val="7FC3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Normal Indent"/>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2025-08-04T07:12:00Z</dcterms:created>
  <dc:creator>Acknowledge</dc:creator>
  <cp:lastModifiedBy>Acknowledge</cp:lastModifiedBy>
  <dcterms:modified xsi:type="dcterms:W3CDTF">2025-08-04T07:19:19Z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412E8A0B347F4B968F384E9D89B02F0B_11</vt:lpwstr>
  </property>
</Properties>
</file>