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443F">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遵义市汇川区教育体育局山盆镇第二幼儿园教育教学设备采购项目需求公示</w:t>
      </w:r>
    </w:p>
    <w:p w14:paraId="29BB5B26">
      <w:pPr>
        <w:numPr>
          <w:ilvl w:val="0"/>
          <w:numId w:val="0"/>
        </w:numPr>
        <w:jc w:val="both"/>
        <w:rPr>
          <w:rFonts w:hint="eastAsia" w:ascii="仿宋" w:hAnsi="仿宋" w:eastAsia="仿宋" w:cs="仿宋"/>
          <w:b/>
          <w:bCs/>
          <w:sz w:val="36"/>
          <w:szCs w:val="44"/>
          <w:lang w:eastAsia="zh-CN"/>
        </w:rPr>
      </w:pPr>
    </w:p>
    <w:p w14:paraId="1FED9650">
      <w:pPr>
        <w:numPr>
          <w:ilvl w:val="0"/>
          <w:numId w:val="1"/>
        </w:numPr>
        <w:jc w:val="both"/>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申请人的基本资格要求：</w:t>
      </w:r>
    </w:p>
    <w:p w14:paraId="736E1B80">
      <w:pPr>
        <w:pStyle w:val="1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（1）具有独立承担民事责任的能力：提供合法有效的统一社会信用代码营业执照复印件（事业单位提供事业单位法人证书复印件，自然人应提供身份证复印件）；</w:t>
      </w:r>
    </w:p>
    <w:p w14:paraId="350ABC56">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（2）有依法缴纳社会保险及税收的良好记录：</w:t>
      </w:r>
    </w:p>
    <w:p w14:paraId="570595B0">
      <w:pPr>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①缴纳社会保险证明资料：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r>
        <w:rPr>
          <w:rFonts w:hint="eastAsia" w:ascii="宋体" w:hAnsi="宋体" w:eastAsia="宋体" w:cs="宋体"/>
          <w:color w:val="000000"/>
          <w:kern w:val="0"/>
          <w:sz w:val="24"/>
          <w:highlight w:val="none"/>
          <w:lang w:val="en-US" w:eastAsia="zh-CN"/>
        </w:rPr>
        <w:br w:type="textWrapping"/>
      </w:r>
      <w:r>
        <w:rPr>
          <w:rFonts w:hint="eastAsia" w:ascii="宋体" w:hAnsi="宋体" w:eastAsia="宋体" w:cs="宋体"/>
          <w:color w:val="000000"/>
          <w:kern w:val="0"/>
          <w:sz w:val="24"/>
          <w:highlight w:val="none"/>
          <w:lang w:val="en-US" w:eastAsia="zh-CN"/>
        </w:rPr>
        <w:t>②缴纳税收证明资料:2025年至投标截止时间前任意三个月依法缴纳税收的证明（纳税凭证复印件），或者委托他人缴纳的委托代办协议和2025年至投标截止时间前任意三个月的缴纳证明（收据复印件），或者法定征收机关出具的依法免缴税收的证明复印件或扫描件；</w:t>
      </w:r>
    </w:p>
    <w:p w14:paraId="66172C5A">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szCs w:val="24"/>
          <w:highlight w:val="none"/>
          <w:lang w:val="en-US" w:eastAsia="zh-CN" w:bidi="ar-SA"/>
        </w:rPr>
        <w:t>（3）法定代表人参加投标的提供法定代</w:t>
      </w:r>
      <w:r>
        <w:rPr>
          <w:rFonts w:hint="eastAsia" w:ascii="宋体" w:hAnsi="宋体" w:eastAsia="宋体" w:cs="宋体"/>
          <w:color w:val="000000"/>
          <w:kern w:val="0"/>
          <w:sz w:val="24"/>
          <w:highlight w:val="none"/>
        </w:rPr>
        <w:t>表人身份证明原件及身份证</w:t>
      </w:r>
      <w:r>
        <w:rPr>
          <w:rFonts w:hint="eastAsia" w:ascii="宋体" w:hAnsi="宋体" w:eastAsia="宋体" w:cs="宋体"/>
          <w:color w:val="000000"/>
          <w:sz w:val="24"/>
          <w:highlight w:val="none"/>
          <w:lang w:eastAsia="zh-CN"/>
        </w:rPr>
        <w:t>复印件或扫描件</w:t>
      </w:r>
      <w:r>
        <w:rPr>
          <w:rFonts w:hint="eastAsia" w:ascii="宋体" w:hAnsi="宋体" w:eastAsia="宋体" w:cs="宋体"/>
          <w:color w:val="000000"/>
          <w:kern w:val="0"/>
          <w:sz w:val="24"/>
          <w:highlight w:val="none"/>
        </w:rPr>
        <w:t>，法定代表人授权他人参加投标的提供法定代表人授权委托书原件及授权代理人身份证复印件（格式见响应文件组成），自然人提交身份证复印件。</w:t>
      </w:r>
    </w:p>
    <w:p w14:paraId="2893E76B">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（4）具有良好的商业信誉和健全的财务会计制度：提供202</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年度的经第三方审计的</w:t>
      </w:r>
      <w:r>
        <w:rPr>
          <w:rFonts w:hint="eastAsia" w:ascii="宋体" w:hAnsi="宋体" w:eastAsia="宋体" w:cs="宋体"/>
          <w:color w:val="000000"/>
          <w:kern w:val="0"/>
          <w:sz w:val="24"/>
          <w:highlight w:val="none"/>
          <w:lang w:val="en-US" w:eastAsia="zh-CN"/>
        </w:rPr>
        <w:t>审计报告</w:t>
      </w:r>
      <w:r>
        <w:rPr>
          <w:rFonts w:hint="eastAsia" w:ascii="宋体" w:hAnsi="宋体" w:eastAsia="宋体" w:cs="宋体"/>
          <w:color w:val="000000"/>
          <w:kern w:val="0"/>
          <w:sz w:val="24"/>
          <w:highlight w:val="none"/>
        </w:rPr>
        <w:t>复印件或</w:t>
      </w:r>
      <w:r>
        <w:rPr>
          <w:rFonts w:hint="eastAsia" w:ascii="宋体" w:hAnsi="宋体" w:eastAsia="宋体" w:cs="宋体"/>
          <w:color w:val="000000"/>
          <w:kern w:val="0"/>
          <w:sz w:val="24"/>
          <w:highlight w:val="none"/>
          <w:lang w:val="en-US" w:eastAsia="zh-CN"/>
        </w:rPr>
        <w:t>近期（投标截止时间前三个月内）的</w:t>
      </w:r>
      <w:r>
        <w:rPr>
          <w:rFonts w:hint="eastAsia" w:ascii="宋体" w:hAnsi="宋体" w:eastAsia="宋体" w:cs="宋体"/>
          <w:color w:val="000000"/>
          <w:kern w:val="0"/>
          <w:sz w:val="24"/>
          <w:highlight w:val="none"/>
        </w:rPr>
        <w:t>基本开户银行出具的资信证明复印件。</w:t>
      </w:r>
    </w:p>
    <w:p w14:paraId="16413D45">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（5）具有履行合同所必需的设备和专业技术能力：提供承诺函（格式自拟）；</w:t>
      </w:r>
    </w:p>
    <w:p w14:paraId="1C30598E">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（6）参加政府采购活动前三年内，在经营活动中没有重大违法记录：提供参加采购活动前三年内在经营活动中没有重大违法记录的书面声明。 </w:t>
      </w:r>
    </w:p>
    <w:p w14:paraId="0FD33775">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r>
        <w:rPr>
          <w:rFonts w:hint="eastAsia" w:ascii="宋体" w:hAnsi="宋体" w:eastAsia="宋体" w:cs="宋体"/>
          <w:kern w:val="0"/>
          <w:sz w:val="24"/>
          <w:szCs w:val="24"/>
        </w:rPr>
        <w:t>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根据投标人投标报名信息，依次在“信用中国”网站查询投标人信用信息，如果投标人被列入失信名单，投标文件视为无效，</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将依据查询信息报送评标委员会。</w:t>
      </w:r>
    </w:p>
    <w:p w14:paraId="244D1B08">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2、特定资格条件：无</w:t>
      </w:r>
    </w:p>
    <w:p w14:paraId="50205CB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三、政府采购需要落实的政策：</w:t>
      </w:r>
    </w:p>
    <w:p w14:paraId="207D4B2B">
      <w:pPr>
        <w:pStyle w:val="3"/>
        <w:spacing w:line="360" w:lineRule="auto"/>
        <w:ind w:firstLine="480" w:firstLineChars="200"/>
        <w:jc w:val="both"/>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1、根据《遵义市财政局关于印发 &lt;政府采购营商环境整改提升工作方案&gt;》</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遵财采〔2022〕17号）、《遵义市财政局关于转发&lt;关于进一步加大政府采购支持中小企业力度的通知&gt;的通知》（遵财采〔2022〕37号）文件规定，采购预算中面向中小微企业预留的采购项目，开展采购活动时不收取投标保证金。采购项目中标企业为小微企业（享受小微企业政策的）的，该项目不收取履约保证金。</w:t>
      </w:r>
    </w:p>
    <w:p w14:paraId="014B3B20">
      <w:pPr>
        <w:pStyle w:val="3"/>
        <w:spacing w:line="360" w:lineRule="auto"/>
        <w:jc w:val="both"/>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highlight w:val="none"/>
          <w:u w:val="single"/>
        </w:rPr>
        <w:t xml:space="preserve">   2、根据《遵义市财政局关于转发&lt;关于进一步加大政府采购支持中小企业力度的通知&gt;的通知》（遵财采〔2022〕37号）文件规定，对未预留份额专门面向中小企业采购的产品或服务的价格给予20%的扣除，大中型企业与小微企业组成联合体或者大中型企业向小微企业分包的价格给予4%的扣除，用扣除后的价格参与评审，但须提供《中小企业声明函》</w:t>
      </w:r>
      <w:r>
        <w:rPr>
          <w:rFonts w:hint="eastAsia" w:ascii="宋体" w:hAnsi="宋体" w:eastAsia="宋体" w:cs="宋体"/>
          <w:color w:val="000000"/>
          <w:sz w:val="24"/>
          <w:highlight w:val="none"/>
          <w:u w:val="single"/>
          <w:lang w:eastAsia="zh-CN"/>
        </w:rPr>
        <w:t>。</w:t>
      </w:r>
    </w:p>
    <w:p w14:paraId="72B34902">
      <w:pPr>
        <w:pStyle w:val="3"/>
        <w:spacing w:line="360" w:lineRule="auto"/>
        <w:jc w:val="both"/>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 xml:space="preserve">   3、根据《遵义市财政局关于印发&lt;政府采购营商环境整改提升工作方案&gt; 》（遵财采〔2022〕17号）、《遵义市财政局关于转发&lt;关于进一步加大政府采购支持中小企业力度的通知&gt;的通知》（遵财采〔2022〕37号）文件规定,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w:t>
      </w:r>
    </w:p>
    <w:p w14:paraId="5DB3D94B">
      <w:pPr>
        <w:pStyle w:val="3"/>
        <w:spacing w:line="360" w:lineRule="auto"/>
        <w:jc w:val="both"/>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 xml:space="preserve">   4、根据《遵义市财政局关于印发&lt;政府采购营商环境整改提升工作方案&gt;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3AC16EFF">
      <w:pPr>
        <w:pStyle w:val="3"/>
        <w:spacing w:line="360" w:lineRule="auto"/>
        <w:jc w:val="both"/>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 xml:space="preserve">   5、根据《遵义市财政局关于印发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40B6DF7E">
      <w:pPr>
        <w:spacing w:line="360" w:lineRule="auto"/>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u w:val="single"/>
          <w:lang w:val="en-US" w:eastAsia="zh-CN" w:bidi="ar-SA"/>
        </w:rPr>
        <w:t xml:space="preserve">  6、根据《遵义市财政局关于印发&lt;政府采购营商环境整改提升工作方案&gt;》（遵财采〔2022〕17号）、《遵义市财政局关于转发&lt;关于进一步加大政府采购支持中小企业力度的通知&gt; 的通知》（遵财采〔2022〕37号）文件规定，对投标产品属于“节能产品清单”或“环保产品清单”有效期内中的产品（强制采购产品除外），在评审工作过程中，给予适当加分，在总得分基础上加2分。</w:t>
      </w:r>
    </w:p>
    <w:p w14:paraId="6DAC2D3F">
      <w:pPr>
        <w:spacing w:line="360" w:lineRule="auto"/>
        <w:ind w:firstLine="240" w:firstLineChars="100"/>
        <w:rPr>
          <w:rFonts w:hint="eastAsia" w:ascii="宋体" w:hAnsi="宋体" w:eastAsia="宋体" w:cs="宋体"/>
          <w:color w:val="000000"/>
          <w:kern w:val="2"/>
          <w:sz w:val="24"/>
          <w:szCs w:val="24"/>
          <w:highlight w:val="none"/>
          <w:u w:val="single"/>
          <w:lang w:val="en-US" w:eastAsia="zh-CN" w:bidi="ar-SA"/>
        </w:rPr>
      </w:pPr>
      <w:r>
        <w:rPr>
          <w:rFonts w:hint="eastAsia" w:cs="宋体"/>
          <w:color w:val="000000"/>
          <w:kern w:val="2"/>
          <w:sz w:val="24"/>
          <w:szCs w:val="24"/>
          <w:highlight w:val="none"/>
          <w:u w:val="single"/>
          <w:lang w:val="en-US" w:eastAsia="zh-CN" w:bidi="ar-SA"/>
        </w:rPr>
        <w:t>7、</w:t>
      </w:r>
      <w:r>
        <w:rPr>
          <w:rFonts w:hint="eastAsia" w:ascii="宋体" w:hAnsi="宋体" w:eastAsia="宋体" w:cs="宋体"/>
          <w:color w:val="000000"/>
          <w:kern w:val="2"/>
          <w:sz w:val="24"/>
          <w:szCs w:val="24"/>
          <w:highlight w:val="none"/>
          <w:u w:val="single"/>
          <w:lang w:val="en-US" w:eastAsia="zh-CN" w:bidi="ar-SA"/>
        </w:rPr>
        <w:t>本项目是专门面向中小微型企业的采购项目，只允许中小微企业制造（生产）的产品参与投标，中小微企业需出具中小企业声明函；中小微企业的分类标准按照工信部、统计局、发改委、财政部四部委印发中小企业划型标准规定的通知（工信部联企业〔2011〕300号）文件执行。专门面向中小企业采购的项目或者采购包，不再执行价格评审优惠的扶持政策。</w:t>
      </w:r>
    </w:p>
    <w:p w14:paraId="24551A63">
      <w:pPr>
        <w:spacing w:line="360" w:lineRule="auto"/>
        <w:rPr>
          <w:rFonts w:hint="eastAsia" w:ascii="宋体" w:hAnsi="宋体" w:eastAsia="宋体" w:cs="宋体"/>
          <w:color w:val="000000"/>
          <w:kern w:val="2"/>
          <w:sz w:val="24"/>
          <w:szCs w:val="24"/>
          <w:highlight w:val="none"/>
          <w:u w:val="single"/>
          <w:lang w:val="en-US" w:eastAsia="zh-CN" w:bidi="ar-SA"/>
        </w:rPr>
      </w:pPr>
    </w:p>
    <w:p w14:paraId="404B44F3">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65FBE72F">
      <w:pPr>
        <w:numPr>
          <w:ilvl w:val="0"/>
          <w:numId w:val="0"/>
        </w:numPr>
        <w:jc w:val="both"/>
        <w:rPr>
          <w:rFonts w:hint="eastAsia" w:ascii="仿宋" w:hAnsi="仿宋" w:eastAsia="仿宋" w:cs="仿宋"/>
          <w:b/>
          <w:bCs/>
          <w:sz w:val="32"/>
          <w:szCs w:val="40"/>
          <w:lang w:eastAsia="zh-CN"/>
        </w:rPr>
      </w:pPr>
    </w:p>
    <w:p w14:paraId="49C99184">
      <w:pPr>
        <w:numPr>
          <w:ilvl w:val="0"/>
          <w:numId w:val="0"/>
        </w:numPr>
        <w:jc w:val="both"/>
        <w:rPr>
          <w:rFonts w:hint="eastAsia" w:ascii="仿宋" w:hAnsi="仿宋" w:eastAsia="仿宋" w:cs="仿宋"/>
          <w:b/>
          <w:bCs/>
          <w:sz w:val="32"/>
          <w:szCs w:val="40"/>
          <w:lang w:eastAsia="zh-CN"/>
        </w:rPr>
      </w:pPr>
    </w:p>
    <w:p w14:paraId="1C4724C0">
      <w:pPr>
        <w:numPr>
          <w:ilvl w:val="0"/>
          <w:numId w:val="0"/>
        </w:numPr>
        <w:jc w:val="both"/>
        <w:rPr>
          <w:rFonts w:hint="eastAsia" w:ascii="仿宋" w:hAnsi="仿宋" w:eastAsia="仿宋" w:cs="仿宋"/>
          <w:b/>
          <w:bCs/>
          <w:sz w:val="32"/>
          <w:szCs w:val="40"/>
          <w:lang w:eastAsia="zh-CN"/>
        </w:rPr>
      </w:pPr>
    </w:p>
    <w:p w14:paraId="58334167">
      <w:pPr>
        <w:numPr>
          <w:ilvl w:val="0"/>
          <w:numId w:val="0"/>
        </w:numPr>
        <w:jc w:val="both"/>
        <w:rPr>
          <w:rFonts w:hint="eastAsia" w:ascii="仿宋" w:hAnsi="仿宋" w:eastAsia="仿宋" w:cs="仿宋"/>
          <w:b/>
          <w:bCs/>
          <w:sz w:val="32"/>
          <w:szCs w:val="40"/>
          <w:lang w:eastAsia="zh-CN"/>
        </w:rPr>
      </w:pPr>
    </w:p>
    <w:p w14:paraId="42943246">
      <w:pPr>
        <w:numPr>
          <w:ilvl w:val="0"/>
          <w:numId w:val="0"/>
        </w:numPr>
        <w:jc w:val="both"/>
        <w:rPr>
          <w:rFonts w:hint="eastAsia" w:ascii="仿宋" w:hAnsi="仿宋" w:eastAsia="仿宋" w:cs="仿宋"/>
          <w:b/>
          <w:bCs/>
          <w:sz w:val="32"/>
          <w:szCs w:val="40"/>
          <w:lang w:eastAsia="zh-CN"/>
        </w:rPr>
      </w:pPr>
    </w:p>
    <w:p w14:paraId="09461CA2">
      <w:pPr>
        <w:numPr>
          <w:ilvl w:val="0"/>
          <w:numId w:val="0"/>
        </w:numPr>
        <w:jc w:val="both"/>
        <w:rPr>
          <w:rFonts w:hint="eastAsia" w:ascii="仿宋" w:hAnsi="仿宋" w:eastAsia="仿宋" w:cs="仿宋"/>
          <w:b/>
          <w:bCs/>
          <w:sz w:val="32"/>
          <w:szCs w:val="40"/>
          <w:lang w:eastAsia="zh-CN"/>
        </w:rPr>
      </w:pPr>
    </w:p>
    <w:p w14:paraId="1F6E356A">
      <w:pPr>
        <w:numPr>
          <w:ilvl w:val="0"/>
          <w:numId w:val="0"/>
        </w:numPr>
        <w:jc w:val="both"/>
        <w:rPr>
          <w:rFonts w:hint="eastAsia" w:ascii="仿宋" w:hAnsi="仿宋" w:eastAsia="仿宋" w:cs="仿宋"/>
          <w:b/>
          <w:bCs/>
          <w:sz w:val="32"/>
          <w:szCs w:val="40"/>
          <w:lang w:eastAsia="zh-CN"/>
        </w:rPr>
      </w:pPr>
    </w:p>
    <w:p w14:paraId="72D75F78">
      <w:pPr>
        <w:numPr>
          <w:ilvl w:val="0"/>
          <w:numId w:val="0"/>
        </w:numPr>
        <w:jc w:val="both"/>
        <w:rPr>
          <w:rFonts w:hint="eastAsia" w:ascii="仿宋" w:hAnsi="仿宋" w:eastAsia="仿宋" w:cs="仿宋"/>
          <w:b/>
          <w:bCs/>
          <w:sz w:val="32"/>
          <w:szCs w:val="40"/>
          <w:lang w:eastAsia="zh-CN"/>
        </w:rPr>
      </w:pPr>
    </w:p>
    <w:p w14:paraId="0FD6CA92">
      <w:pPr>
        <w:numPr>
          <w:ilvl w:val="0"/>
          <w:numId w:val="0"/>
        </w:numPr>
        <w:jc w:val="both"/>
        <w:rPr>
          <w:rFonts w:hint="eastAsia" w:ascii="仿宋" w:hAnsi="仿宋" w:eastAsia="仿宋" w:cs="仿宋"/>
          <w:b/>
          <w:bCs/>
          <w:sz w:val="32"/>
          <w:szCs w:val="40"/>
          <w:lang w:eastAsia="zh-CN"/>
        </w:rPr>
      </w:pPr>
    </w:p>
    <w:p w14:paraId="04B33CD6">
      <w:pPr>
        <w:numPr>
          <w:ilvl w:val="0"/>
          <w:numId w:val="0"/>
        </w:numPr>
        <w:jc w:val="both"/>
        <w:rPr>
          <w:rFonts w:hint="eastAsia" w:ascii="仿宋" w:hAnsi="仿宋" w:eastAsia="仿宋" w:cs="仿宋"/>
          <w:b/>
          <w:bCs/>
          <w:sz w:val="32"/>
          <w:szCs w:val="40"/>
          <w:lang w:eastAsia="zh-CN"/>
        </w:rPr>
      </w:pPr>
    </w:p>
    <w:p w14:paraId="5D55240B">
      <w:pPr>
        <w:numPr>
          <w:ilvl w:val="0"/>
          <w:numId w:val="0"/>
        </w:numPr>
        <w:jc w:val="both"/>
        <w:rPr>
          <w:rFonts w:hint="eastAsia" w:ascii="仿宋" w:hAnsi="仿宋" w:eastAsia="仿宋" w:cs="仿宋"/>
          <w:b/>
          <w:bCs/>
          <w:sz w:val="32"/>
          <w:szCs w:val="40"/>
          <w:lang w:eastAsia="zh-CN"/>
        </w:rPr>
      </w:pPr>
    </w:p>
    <w:p w14:paraId="7F67216B">
      <w:pPr>
        <w:numPr>
          <w:ilvl w:val="0"/>
          <w:numId w:val="0"/>
        </w:numPr>
        <w:jc w:val="both"/>
        <w:rPr>
          <w:rFonts w:hint="eastAsia" w:ascii="仿宋" w:hAnsi="仿宋" w:eastAsia="仿宋" w:cs="仿宋"/>
          <w:b/>
          <w:bCs/>
          <w:sz w:val="32"/>
          <w:szCs w:val="40"/>
          <w:lang w:eastAsia="zh-CN"/>
        </w:rPr>
      </w:pPr>
    </w:p>
    <w:p w14:paraId="6E5EB1D0">
      <w:pPr>
        <w:numPr>
          <w:ilvl w:val="0"/>
          <w:numId w:val="0"/>
        </w:numPr>
        <w:jc w:val="both"/>
        <w:rPr>
          <w:rFonts w:hint="eastAsia" w:ascii="仿宋" w:hAnsi="仿宋" w:eastAsia="仿宋" w:cs="仿宋"/>
          <w:b/>
          <w:bCs/>
          <w:sz w:val="32"/>
          <w:szCs w:val="40"/>
          <w:lang w:eastAsia="zh-CN"/>
        </w:rPr>
      </w:pPr>
    </w:p>
    <w:p w14:paraId="67A628B7">
      <w:pPr>
        <w:numPr>
          <w:ilvl w:val="0"/>
          <w:numId w:val="0"/>
        </w:numPr>
        <w:jc w:val="both"/>
        <w:rPr>
          <w:rFonts w:hint="eastAsia" w:ascii="仿宋" w:hAnsi="仿宋" w:eastAsia="仿宋" w:cs="仿宋"/>
          <w:b/>
          <w:bCs/>
          <w:sz w:val="32"/>
          <w:szCs w:val="40"/>
          <w:lang w:eastAsia="zh-CN"/>
        </w:rPr>
      </w:pPr>
    </w:p>
    <w:p w14:paraId="13733A55">
      <w:pPr>
        <w:numPr>
          <w:ilvl w:val="0"/>
          <w:numId w:val="0"/>
        </w:numPr>
        <w:jc w:val="both"/>
        <w:rPr>
          <w:rFonts w:hint="eastAsia" w:ascii="仿宋" w:hAnsi="仿宋" w:eastAsia="仿宋" w:cs="仿宋"/>
          <w:b/>
          <w:bCs/>
          <w:sz w:val="32"/>
          <w:szCs w:val="40"/>
          <w:lang w:eastAsia="zh-CN"/>
        </w:rPr>
      </w:pPr>
    </w:p>
    <w:p w14:paraId="6AAFE9A5">
      <w:pPr>
        <w:numPr>
          <w:ilvl w:val="0"/>
          <w:numId w:val="0"/>
        </w:numPr>
        <w:jc w:val="both"/>
        <w:rPr>
          <w:rFonts w:hint="eastAsia" w:ascii="仿宋" w:hAnsi="仿宋" w:eastAsia="仿宋" w:cs="仿宋"/>
          <w:b/>
          <w:bCs/>
          <w:sz w:val="32"/>
          <w:szCs w:val="40"/>
          <w:lang w:eastAsia="zh-CN"/>
        </w:rPr>
      </w:pPr>
    </w:p>
    <w:p w14:paraId="30FE90D2">
      <w:pPr>
        <w:numPr>
          <w:ilvl w:val="0"/>
          <w:numId w:val="0"/>
        </w:numPr>
        <w:jc w:val="both"/>
        <w:rPr>
          <w:rFonts w:hint="eastAsia" w:ascii="仿宋" w:hAnsi="仿宋" w:eastAsia="仿宋" w:cs="仿宋"/>
          <w:b/>
          <w:bCs/>
          <w:sz w:val="32"/>
          <w:szCs w:val="40"/>
          <w:lang w:eastAsia="zh-CN"/>
        </w:rPr>
      </w:pPr>
    </w:p>
    <w:p w14:paraId="01855100">
      <w:pPr>
        <w:numPr>
          <w:ilvl w:val="0"/>
          <w:numId w:val="0"/>
        </w:numPr>
        <w:jc w:val="both"/>
        <w:rPr>
          <w:rFonts w:hint="eastAsia" w:ascii="仿宋" w:hAnsi="仿宋" w:eastAsia="仿宋" w:cs="仿宋"/>
          <w:b/>
          <w:bCs/>
          <w:sz w:val="32"/>
          <w:szCs w:val="40"/>
          <w:lang w:eastAsia="zh-CN"/>
        </w:rPr>
      </w:pPr>
    </w:p>
    <w:p w14:paraId="4C342489">
      <w:pPr>
        <w:numPr>
          <w:ilvl w:val="0"/>
          <w:numId w:val="0"/>
        </w:numPr>
        <w:jc w:val="both"/>
        <w:rPr>
          <w:rFonts w:hint="eastAsia" w:ascii="仿宋" w:hAnsi="仿宋" w:eastAsia="仿宋" w:cs="仿宋"/>
          <w:b/>
          <w:bCs/>
          <w:sz w:val="32"/>
          <w:szCs w:val="40"/>
          <w:lang w:eastAsia="zh-CN"/>
        </w:rPr>
      </w:pPr>
    </w:p>
    <w:p w14:paraId="4F8C1F5C">
      <w:pPr>
        <w:numPr>
          <w:ilvl w:val="0"/>
          <w:numId w:val="0"/>
        </w:numPr>
        <w:jc w:val="both"/>
        <w:rPr>
          <w:rFonts w:hint="eastAsia" w:ascii="仿宋" w:hAnsi="仿宋" w:eastAsia="仿宋" w:cs="仿宋"/>
          <w:b/>
          <w:bCs/>
          <w:sz w:val="32"/>
          <w:szCs w:val="40"/>
          <w:lang w:eastAsia="zh-CN"/>
        </w:rPr>
      </w:pPr>
    </w:p>
    <w:p w14:paraId="20E663C0">
      <w:pPr>
        <w:numPr>
          <w:ilvl w:val="0"/>
          <w:numId w:val="0"/>
        </w:numPr>
        <w:jc w:val="both"/>
        <w:rPr>
          <w:rFonts w:hint="eastAsia" w:ascii="仿宋" w:hAnsi="仿宋" w:eastAsia="仿宋" w:cs="仿宋"/>
          <w:b/>
          <w:bCs/>
          <w:sz w:val="32"/>
          <w:szCs w:val="40"/>
          <w:lang w:eastAsia="zh-CN"/>
        </w:rPr>
      </w:pPr>
    </w:p>
    <w:p w14:paraId="0BF56F4E">
      <w:pPr>
        <w:numPr>
          <w:ilvl w:val="0"/>
          <w:numId w:val="0"/>
        </w:numPr>
        <w:jc w:val="both"/>
        <w:rPr>
          <w:rFonts w:hint="eastAsia" w:ascii="仿宋" w:hAnsi="仿宋" w:eastAsia="仿宋" w:cs="仿宋"/>
          <w:b/>
          <w:bCs/>
          <w:sz w:val="32"/>
          <w:szCs w:val="40"/>
          <w:lang w:eastAsia="zh-CN"/>
        </w:rPr>
      </w:pPr>
    </w:p>
    <w:p w14:paraId="36D6C82F">
      <w:pPr>
        <w:numPr>
          <w:ilvl w:val="0"/>
          <w:numId w:val="0"/>
        </w:numPr>
        <w:jc w:val="both"/>
        <w:rPr>
          <w:rFonts w:hint="eastAsia" w:ascii="仿宋" w:hAnsi="仿宋" w:eastAsia="仿宋" w:cs="仿宋"/>
          <w:b/>
          <w:bCs/>
          <w:sz w:val="32"/>
          <w:szCs w:val="40"/>
          <w:lang w:eastAsia="zh-CN"/>
        </w:rPr>
      </w:pPr>
    </w:p>
    <w:p w14:paraId="7990826E">
      <w:pPr>
        <w:numPr>
          <w:ilvl w:val="0"/>
          <w:numId w:val="0"/>
        </w:numPr>
        <w:jc w:val="both"/>
        <w:rPr>
          <w:rFonts w:hint="eastAsia" w:ascii="仿宋" w:hAnsi="仿宋" w:eastAsia="仿宋" w:cs="仿宋"/>
          <w:b/>
          <w:bCs/>
          <w:sz w:val="32"/>
          <w:szCs w:val="40"/>
          <w:lang w:eastAsia="zh-CN"/>
        </w:rPr>
      </w:pPr>
    </w:p>
    <w:p w14:paraId="43193336">
      <w:pPr>
        <w:numPr>
          <w:ilvl w:val="0"/>
          <w:numId w:val="2"/>
        </w:numPr>
        <w:spacing w:line="480" w:lineRule="auto"/>
        <w:ind w:leftChars="0"/>
        <w:jc w:val="left"/>
        <w:rPr>
          <w:rFonts w:ascii="仿宋" w:hAnsi="仿宋" w:eastAsia="仿宋" w:cs="仿宋"/>
          <w:b/>
          <w:bCs/>
          <w:color w:val="auto"/>
          <w:sz w:val="32"/>
          <w:szCs w:val="32"/>
          <w:lang w:val="en-US"/>
        </w:rPr>
      </w:pPr>
      <w:r>
        <w:rPr>
          <w:rFonts w:hint="eastAsia" w:ascii="楷体" w:hAnsi="楷体" w:eastAsia="楷体" w:cs="楷体"/>
          <w:b/>
          <w:bCs/>
          <w:sz w:val="32"/>
          <w:szCs w:val="40"/>
          <w:lang w:val="en-US" w:eastAsia="zh-CN"/>
        </w:rPr>
        <w:t>技术参数（详见附件、具体以采购公告为准）</w:t>
      </w:r>
    </w:p>
    <w:p w14:paraId="71A33AAC">
      <w:pPr>
        <w:numPr>
          <w:ilvl w:val="0"/>
          <w:numId w:val="2"/>
        </w:numPr>
        <w:spacing w:line="480" w:lineRule="auto"/>
        <w:ind w:leftChars="0"/>
        <w:jc w:val="left"/>
        <w:rPr>
          <w:rFonts w:ascii="仿宋" w:hAnsi="仿宋" w:eastAsia="仿宋" w:cs="仿宋"/>
          <w:b/>
          <w:bCs/>
          <w:color w:val="auto"/>
          <w:sz w:val="32"/>
          <w:szCs w:val="32"/>
          <w:lang w:val="en-US"/>
        </w:rPr>
        <w:sectPr>
          <w:pgSz w:w="11920" w:h="16850"/>
          <w:pgMar w:top="1440" w:right="1080" w:bottom="1440" w:left="1080" w:header="0" w:footer="1134" w:gutter="0"/>
          <w:pgNumType w:fmt="numberInDash"/>
          <w:cols w:space="720" w:num="1"/>
        </w:sectPr>
      </w:pPr>
    </w:p>
    <w:p w14:paraId="50F30BDC">
      <w:pPr>
        <w:pStyle w:val="13"/>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具体以采购公告为准</w:t>
      </w:r>
      <w:r>
        <w:rPr>
          <w:rFonts w:hint="eastAsia" w:ascii="仿宋" w:hAnsi="仿宋" w:eastAsia="仿宋" w:cs="仿宋"/>
          <w:b/>
          <w:bCs/>
          <w:color w:val="auto"/>
          <w:sz w:val="36"/>
          <w:szCs w:val="36"/>
          <w:lang w:eastAsia="zh-CN"/>
        </w:rPr>
        <w:t>）</w:t>
      </w:r>
      <w:r>
        <w:rPr>
          <w:rFonts w:hint="eastAsia" w:ascii="楷体" w:hAnsi="楷体" w:eastAsia="楷体" w:cs="楷体"/>
          <w:b/>
          <w:bCs/>
          <w:sz w:val="32"/>
          <w:szCs w:val="40"/>
          <w:lang w:val="en-US" w:eastAsia="zh-CN"/>
        </w:rPr>
        <w:t>：</w:t>
      </w:r>
    </w:p>
    <w:p w14:paraId="5E947374">
      <w:pPr>
        <w:pStyle w:val="7"/>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1. 总则</w:t>
      </w:r>
    </w:p>
    <w:p w14:paraId="0B504E7F">
      <w:pPr>
        <w:pStyle w:val="7"/>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 xml:space="preserve">1.1 评标办法 </w:t>
      </w:r>
    </w:p>
    <w:p w14:paraId="306FE902">
      <w:pPr>
        <w:pStyle w:val="7"/>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 xml:space="preserve">本项目采用综合评分法进行评审。 </w:t>
      </w:r>
    </w:p>
    <w:p w14:paraId="3E6DBEFD">
      <w:pPr>
        <w:pStyle w:val="7"/>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 xml:space="preserve">综合评分法，是指在满足采购文件实质性要求的前提下，评标专家按照采购文件中规定的各项评审因素及其分值进行综合评分后，以评分从高到低的顺序推荐1至3家投标人作为中标候选投标人的评标方法。 </w:t>
      </w:r>
    </w:p>
    <w:p w14:paraId="6BFABC39">
      <w:pPr>
        <w:pStyle w:val="7"/>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 xml:space="preserve">1.2 评分因素 </w:t>
      </w:r>
    </w:p>
    <w:p w14:paraId="070D9E64">
      <w:pPr>
        <w:pStyle w:val="7"/>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 xml:space="preserve">评分的主要因素分为价格因素、技术因素（如服务方案、服务响应等）和商务因素（如服务保障、相关业绩等）。评分因素详见评分表。评标分值保留至两位小数。评标时，评标专家依照评分表对每个有效投标人的投标文件进行独立评审、打分。 </w:t>
      </w:r>
    </w:p>
    <w:p w14:paraId="5BA4C57C">
      <w:pPr>
        <w:pStyle w:val="7"/>
        <w:numPr>
          <w:ilvl w:val="0"/>
          <w:numId w:val="3"/>
        </w:numPr>
        <w:spacing w:line="360" w:lineRule="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初步评审标准如下：</w:t>
      </w:r>
    </w:p>
    <w:tbl>
      <w:tblPr>
        <w:tblStyle w:val="11"/>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58"/>
        <w:gridCol w:w="2258"/>
        <w:gridCol w:w="5804"/>
      </w:tblGrid>
      <w:tr w14:paraId="0E89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35" w:type="dxa"/>
            <w:noWrap w:val="0"/>
            <w:vAlign w:val="top"/>
          </w:tcPr>
          <w:p w14:paraId="0036111D">
            <w:pPr>
              <w:pStyle w:val="14"/>
              <w:spacing w:before="70" w:line="360" w:lineRule="auto"/>
              <w:ind w:right="15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258" w:type="dxa"/>
            <w:noWrap w:val="0"/>
            <w:vAlign w:val="top"/>
          </w:tcPr>
          <w:p w14:paraId="4A8AAB8F">
            <w:pPr>
              <w:pStyle w:val="14"/>
              <w:spacing w:before="70" w:line="360" w:lineRule="auto"/>
              <w:ind w:right="15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审查项目</w:t>
            </w:r>
          </w:p>
        </w:tc>
        <w:tc>
          <w:tcPr>
            <w:tcW w:w="2258" w:type="dxa"/>
            <w:noWrap w:val="0"/>
            <w:vAlign w:val="top"/>
          </w:tcPr>
          <w:p w14:paraId="3BA9EE38">
            <w:pPr>
              <w:pStyle w:val="14"/>
              <w:spacing w:before="70" w:line="360" w:lineRule="auto"/>
              <w:ind w:left="578"/>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评审因素</w:t>
            </w:r>
          </w:p>
        </w:tc>
        <w:tc>
          <w:tcPr>
            <w:tcW w:w="5804" w:type="dxa"/>
            <w:noWrap w:val="0"/>
            <w:vAlign w:val="top"/>
          </w:tcPr>
          <w:p w14:paraId="49655778">
            <w:pPr>
              <w:pStyle w:val="14"/>
              <w:spacing w:before="70" w:line="360" w:lineRule="auto"/>
              <w:ind w:left="2400" w:right="2242"/>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评审标准</w:t>
            </w:r>
          </w:p>
        </w:tc>
      </w:tr>
      <w:tr w14:paraId="4F978912">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71BEC178">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0EA7928E">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3647F8D1">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23646D35">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057C595D">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4134B8BA">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1E268B80">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50A19F93">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p w14:paraId="540B83A1">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lang w:val="en-US"/>
              </w:rPr>
              <w:t>1</w:t>
            </w:r>
          </w:p>
        </w:tc>
        <w:tc>
          <w:tcPr>
            <w:tcW w:w="1258" w:type="dxa"/>
            <w:vMerge w:val="restart"/>
            <w:tcBorders>
              <w:top w:val="single" w:color="auto" w:sz="4" w:space="0"/>
              <w:left w:val="single" w:color="auto" w:sz="4" w:space="0"/>
              <w:right w:val="single" w:color="auto" w:sz="4" w:space="0"/>
            </w:tcBorders>
            <w:noWrap w:val="0"/>
            <w:vAlign w:val="center"/>
          </w:tcPr>
          <w:p w14:paraId="77E0FDB1">
            <w:pPr>
              <w:pStyle w:val="14"/>
              <w:spacing w:line="360" w:lineRule="auto"/>
              <w:jc w:val="center"/>
              <w:rPr>
                <w:rFonts w:hint="eastAsia" w:ascii="宋体" w:hAnsi="宋体" w:eastAsia="宋体" w:cs="宋体"/>
                <w:color w:val="000000"/>
                <w:sz w:val="24"/>
                <w:highlight w:val="none"/>
              </w:rPr>
            </w:pPr>
          </w:p>
          <w:p w14:paraId="3C7ECA34">
            <w:pPr>
              <w:pStyle w:val="14"/>
              <w:spacing w:line="360" w:lineRule="auto"/>
              <w:jc w:val="center"/>
              <w:rPr>
                <w:rFonts w:hint="eastAsia" w:ascii="宋体" w:hAnsi="宋体" w:eastAsia="宋体" w:cs="宋体"/>
                <w:color w:val="000000"/>
                <w:sz w:val="24"/>
                <w:highlight w:val="none"/>
              </w:rPr>
            </w:pPr>
          </w:p>
          <w:p w14:paraId="532B0C4C">
            <w:pPr>
              <w:pStyle w:val="14"/>
              <w:spacing w:line="360" w:lineRule="auto"/>
              <w:jc w:val="center"/>
              <w:rPr>
                <w:rFonts w:hint="eastAsia" w:ascii="宋体" w:hAnsi="宋体" w:eastAsia="宋体" w:cs="宋体"/>
                <w:color w:val="000000"/>
                <w:sz w:val="24"/>
                <w:highlight w:val="none"/>
              </w:rPr>
            </w:pPr>
          </w:p>
          <w:p w14:paraId="0254F4AF">
            <w:pPr>
              <w:pStyle w:val="14"/>
              <w:spacing w:before="4" w:line="360" w:lineRule="auto"/>
              <w:jc w:val="center"/>
              <w:rPr>
                <w:rFonts w:hint="eastAsia" w:ascii="宋体" w:hAnsi="宋体" w:eastAsia="宋体" w:cs="宋体"/>
                <w:color w:val="000000"/>
                <w:sz w:val="24"/>
                <w:highlight w:val="none"/>
              </w:rPr>
            </w:pPr>
          </w:p>
          <w:p w14:paraId="4ED1FC54">
            <w:pPr>
              <w:pStyle w:val="14"/>
              <w:spacing w:line="360" w:lineRule="auto"/>
              <w:ind w:left="174"/>
              <w:jc w:val="center"/>
              <w:rPr>
                <w:rFonts w:hint="eastAsia" w:ascii="宋体" w:hAnsi="宋体" w:eastAsia="宋体" w:cs="宋体"/>
                <w:color w:val="000000"/>
                <w:sz w:val="24"/>
                <w:highlight w:val="none"/>
              </w:rPr>
            </w:pPr>
          </w:p>
          <w:p w14:paraId="4CFCCA50">
            <w:pPr>
              <w:pStyle w:val="14"/>
              <w:spacing w:line="360" w:lineRule="auto"/>
              <w:ind w:left="174"/>
              <w:jc w:val="center"/>
              <w:rPr>
                <w:rFonts w:hint="eastAsia" w:ascii="宋体" w:hAnsi="宋体" w:eastAsia="宋体" w:cs="宋体"/>
                <w:color w:val="000000"/>
                <w:sz w:val="24"/>
                <w:highlight w:val="none"/>
              </w:rPr>
            </w:pPr>
          </w:p>
          <w:p w14:paraId="0ACA5316">
            <w:pPr>
              <w:pStyle w:val="14"/>
              <w:spacing w:line="360" w:lineRule="auto"/>
              <w:ind w:left="174"/>
              <w:jc w:val="center"/>
              <w:rPr>
                <w:rFonts w:hint="eastAsia" w:ascii="宋体" w:hAnsi="宋体" w:eastAsia="宋体" w:cs="宋体"/>
                <w:color w:val="000000"/>
                <w:sz w:val="24"/>
                <w:highlight w:val="none"/>
              </w:rPr>
            </w:pPr>
          </w:p>
          <w:p w14:paraId="5F72EE18">
            <w:pPr>
              <w:pStyle w:val="14"/>
              <w:spacing w:line="360" w:lineRule="auto"/>
              <w:jc w:val="center"/>
              <w:rPr>
                <w:rFonts w:hint="eastAsia" w:ascii="宋体" w:hAnsi="宋体" w:eastAsia="宋体" w:cs="宋体"/>
                <w:color w:val="000000"/>
                <w:sz w:val="24"/>
                <w:highlight w:val="none"/>
              </w:rPr>
            </w:pPr>
          </w:p>
          <w:p w14:paraId="2025BFE8">
            <w:pPr>
              <w:pStyle w:val="14"/>
              <w:spacing w:line="360" w:lineRule="auto"/>
              <w:ind w:left="14" w:right="-90" w:rightChars="-41" w:hanging="14" w:hangingChars="6"/>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资格性检查</w:t>
            </w: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BB0879C">
            <w:pPr>
              <w:pStyle w:val="14"/>
              <w:spacing w:line="360" w:lineRule="auto"/>
              <w:ind w:right="127"/>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具有独立承担民事责任的能力</w:t>
            </w:r>
          </w:p>
        </w:tc>
        <w:tc>
          <w:tcPr>
            <w:tcW w:w="5804" w:type="dxa"/>
            <w:tcBorders>
              <w:top w:val="single" w:color="000000" w:sz="6" w:space="0"/>
              <w:left w:val="single" w:color="000000" w:sz="6" w:space="0"/>
              <w:bottom w:val="single" w:color="000000" w:sz="6" w:space="0"/>
            </w:tcBorders>
            <w:noWrap w:val="0"/>
            <w:vAlign w:val="center"/>
          </w:tcPr>
          <w:p w14:paraId="643CAC40">
            <w:pPr>
              <w:pStyle w:val="14"/>
              <w:spacing w:line="360" w:lineRule="auto"/>
              <w:ind w:left="86" w:right="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提供合法有效的统一社会信用代码营业执照复印件（事业单位提供事业单位法人证书复印件，自然人应提供身份证复印件）；</w:t>
            </w:r>
          </w:p>
        </w:tc>
      </w:tr>
      <w:tr w14:paraId="3B9A598A">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7B0CCA54">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tc>
        <w:tc>
          <w:tcPr>
            <w:tcW w:w="1258" w:type="dxa"/>
            <w:vMerge w:val="continue"/>
            <w:tcBorders>
              <w:left w:val="single" w:color="auto" w:sz="4" w:space="0"/>
              <w:right w:val="single" w:color="auto" w:sz="4" w:space="0"/>
            </w:tcBorders>
            <w:noWrap w:val="0"/>
            <w:vAlign w:val="center"/>
          </w:tcPr>
          <w:p w14:paraId="28188A1D">
            <w:pPr>
              <w:pStyle w:val="14"/>
              <w:spacing w:line="360" w:lineRule="auto"/>
              <w:ind w:left="14" w:right="-90" w:rightChars="-41" w:hanging="14" w:hangingChars="6"/>
              <w:jc w:val="center"/>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444C289">
            <w:pPr>
              <w:pStyle w:val="14"/>
              <w:spacing w:line="360" w:lineRule="auto"/>
              <w:ind w:right="127"/>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授权书及法人身份证明文件</w:t>
            </w:r>
          </w:p>
        </w:tc>
        <w:tc>
          <w:tcPr>
            <w:tcW w:w="5804" w:type="dxa"/>
            <w:tcBorders>
              <w:top w:val="single" w:color="000000" w:sz="6" w:space="0"/>
              <w:left w:val="single" w:color="000000" w:sz="6" w:space="0"/>
              <w:bottom w:val="single" w:color="000000" w:sz="6" w:space="0"/>
            </w:tcBorders>
            <w:noWrap w:val="0"/>
            <w:vAlign w:val="center"/>
          </w:tcPr>
          <w:p w14:paraId="343DDBEC">
            <w:pPr>
              <w:spacing w:line="360" w:lineRule="auto"/>
              <w:rPr>
                <w:rFonts w:hint="eastAsia" w:ascii="宋体" w:hAnsi="宋体" w:eastAsia="宋体" w:cs="宋体"/>
                <w:color w:val="auto"/>
                <w:sz w:val="24"/>
                <w:highlight w:val="none"/>
              </w:rPr>
            </w:pPr>
            <w:r>
              <w:rPr>
                <w:rFonts w:hint="eastAsia" w:ascii="宋体" w:hAnsi="宋体" w:eastAsia="宋体" w:cs="宋体"/>
                <w:color w:val="000000"/>
                <w:kern w:val="0"/>
                <w:sz w:val="24"/>
                <w:szCs w:val="24"/>
                <w:highlight w:val="none"/>
                <w:lang w:val="en-US" w:eastAsia="zh-CN" w:bidi="ar-SA"/>
              </w:rPr>
              <w:t>法定代表人参加投标的提供法定代</w:t>
            </w:r>
            <w:r>
              <w:rPr>
                <w:rFonts w:hint="eastAsia" w:ascii="宋体" w:hAnsi="宋体" w:eastAsia="宋体" w:cs="宋体"/>
                <w:color w:val="000000"/>
                <w:kern w:val="0"/>
                <w:sz w:val="24"/>
                <w:highlight w:val="none"/>
              </w:rPr>
              <w:t>表人身份证明原件及身份证</w:t>
            </w:r>
            <w:r>
              <w:rPr>
                <w:rFonts w:hint="eastAsia" w:ascii="宋体" w:hAnsi="宋体" w:eastAsia="宋体" w:cs="宋体"/>
                <w:color w:val="000000"/>
                <w:sz w:val="24"/>
                <w:highlight w:val="none"/>
                <w:lang w:eastAsia="zh-CN"/>
              </w:rPr>
              <w:t>复印件或扫描件</w:t>
            </w:r>
            <w:r>
              <w:rPr>
                <w:rFonts w:hint="eastAsia" w:ascii="宋体" w:hAnsi="宋体" w:eastAsia="宋体" w:cs="宋体"/>
                <w:color w:val="000000"/>
                <w:kern w:val="0"/>
                <w:sz w:val="24"/>
                <w:highlight w:val="none"/>
              </w:rPr>
              <w:t>，法定代表人授权他人参加投标的提供法定代表人授权委托书原件及授权代理人身份证复印件（格式见响应文件组成</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，自然人提交身份证复印件。</w:t>
            </w:r>
          </w:p>
        </w:tc>
      </w:tr>
      <w:tr w14:paraId="6D1B827A">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504B8422">
            <w:pPr>
              <w:pStyle w:val="14"/>
              <w:spacing w:line="360" w:lineRule="auto"/>
              <w:ind w:left="14" w:right="-90" w:rightChars="-41" w:hanging="14" w:hangingChars="6"/>
              <w:jc w:val="center"/>
              <w:rPr>
                <w:rFonts w:hint="eastAsia" w:ascii="宋体" w:hAnsi="宋体" w:eastAsia="宋体" w:cs="宋体"/>
                <w:color w:val="000000"/>
                <w:sz w:val="24"/>
                <w:highlight w:val="none"/>
                <w:lang w:val="en-US"/>
              </w:rPr>
            </w:pPr>
          </w:p>
        </w:tc>
        <w:tc>
          <w:tcPr>
            <w:tcW w:w="1258" w:type="dxa"/>
            <w:vMerge w:val="continue"/>
            <w:tcBorders>
              <w:left w:val="single" w:color="auto" w:sz="4" w:space="0"/>
              <w:right w:val="single" w:color="auto" w:sz="4" w:space="0"/>
            </w:tcBorders>
            <w:noWrap w:val="0"/>
            <w:vAlign w:val="center"/>
          </w:tcPr>
          <w:p w14:paraId="17482BC6">
            <w:pPr>
              <w:pStyle w:val="14"/>
              <w:spacing w:line="360" w:lineRule="auto"/>
              <w:ind w:left="14" w:right="-90" w:rightChars="-41" w:hanging="14" w:hangingChars="6"/>
              <w:jc w:val="center"/>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629D0DB5">
            <w:pPr>
              <w:pStyle w:val="14"/>
              <w:spacing w:line="360" w:lineRule="auto"/>
              <w:ind w:right="127"/>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依法缴纳社会保险证明资料</w:t>
            </w:r>
          </w:p>
        </w:tc>
        <w:tc>
          <w:tcPr>
            <w:tcW w:w="5804" w:type="dxa"/>
            <w:tcBorders>
              <w:top w:val="single" w:color="000000" w:sz="6" w:space="0"/>
              <w:left w:val="single" w:color="000000" w:sz="6" w:space="0"/>
              <w:bottom w:val="single" w:color="000000" w:sz="6" w:space="0"/>
            </w:tcBorders>
            <w:noWrap w:val="0"/>
            <w:vAlign w:val="center"/>
          </w:tcPr>
          <w:p w14:paraId="1AA561EB">
            <w:pPr>
              <w:spacing w:line="360"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kern w:val="0"/>
                <w:sz w:val="24"/>
                <w:highlight w:val="none"/>
              </w:rPr>
              <w:t>提供202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年至投标截止时间前任意三个月依法缴纳社会保险的证明（缴费凭证复印件），或者委托他人缴纳的委托代办协议和202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年至投标截止时间前的缴纳证明（收据复印件），或者法定征收机关出具的依法免缴保险费的证明</w:t>
            </w:r>
            <w:r>
              <w:rPr>
                <w:rFonts w:hint="eastAsia" w:ascii="宋体" w:hAnsi="宋体" w:eastAsia="宋体" w:cs="宋体"/>
                <w:color w:val="auto"/>
                <w:kern w:val="0"/>
                <w:sz w:val="24"/>
                <w:highlight w:val="none"/>
                <w:lang w:eastAsia="zh-CN"/>
              </w:rPr>
              <w:t>复印件或扫描件</w:t>
            </w:r>
            <w:r>
              <w:rPr>
                <w:rFonts w:hint="eastAsia" w:ascii="宋体" w:hAnsi="宋体" w:eastAsia="宋体" w:cs="宋体"/>
                <w:color w:val="auto"/>
                <w:kern w:val="0"/>
                <w:sz w:val="24"/>
                <w:highlight w:val="none"/>
              </w:rPr>
              <w:t>；</w:t>
            </w:r>
          </w:p>
        </w:tc>
      </w:tr>
      <w:tr w14:paraId="3AA72E14">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88" w:hRule="atLeast"/>
          <w:jc w:val="center"/>
        </w:trPr>
        <w:tc>
          <w:tcPr>
            <w:tcW w:w="735" w:type="dxa"/>
            <w:vMerge w:val="continue"/>
            <w:tcBorders>
              <w:left w:val="single" w:color="auto" w:sz="4" w:space="0"/>
              <w:right w:val="single" w:color="auto" w:sz="4" w:space="0"/>
            </w:tcBorders>
            <w:noWrap w:val="0"/>
            <w:vAlign w:val="top"/>
          </w:tcPr>
          <w:p w14:paraId="2231863B">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4BBC3124">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732CA78">
            <w:pPr>
              <w:pStyle w:val="14"/>
              <w:spacing w:before="5" w:line="360" w:lineRule="auto"/>
              <w:ind w:left="155" w:right="127"/>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依法缴纳税收证明资料</w:t>
            </w:r>
          </w:p>
        </w:tc>
        <w:tc>
          <w:tcPr>
            <w:tcW w:w="5804" w:type="dxa"/>
            <w:tcBorders>
              <w:top w:val="single" w:color="000000" w:sz="6" w:space="0"/>
              <w:left w:val="single" w:color="000000" w:sz="6" w:space="0"/>
              <w:bottom w:val="single" w:color="000000" w:sz="6" w:space="0"/>
            </w:tcBorders>
            <w:noWrap w:val="0"/>
            <w:vAlign w:val="top"/>
          </w:tcPr>
          <w:p w14:paraId="33567DD4">
            <w:pPr>
              <w:pStyle w:val="14"/>
              <w:spacing w:before="155" w:line="360" w:lineRule="auto"/>
              <w:ind w:right="5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年至投标截止时间前任意三个月依法缴纳税收的证明（纳税凭证复印件），或者委托他人缴纳的委托代办协议和202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年至投标截止时间前任意三个月的缴纳证明（收据复印件），或者法定征收机关出具的依法免缴税收的证明</w:t>
            </w:r>
            <w:r>
              <w:rPr>
                <w:rFonts w:hint="eastAsia" w:ascii="宋体" w:hAnsi="宋体" w:eastAsia="宋体" w:cs="宋体"/>
                <w:color w:val="auto"/>
                <w:kern w:val="0"/>
                <w:sz w:val="24"/>
                <w:highlight w:val="none"/>
                <w:lang w:eastAsia="zh-CN"/>
              </w:rPr>
              <w:t>复印件或扫描件；</w:t>
            </w:r>
          </w:p>
        </w:tc>
      </w:tr>
      <w:tr w14:paraId="08D332B7">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42" w:hRule="atLeast"/>
          <w:jc w:val="center"/>
        </w:trPr>
        <w:tc>
          <w:tcPr>
            <w:tcW w:w="735" w:type="dxa"/>
            <w:vMerge w:val="continue"/>
            <w:tcBorders>
              <w:left w:val="single" w:color="auto" w:sz="4" w:space="0"/>
              <w:right w:val="single" w:color="auto" w:sz="4" w:space="0"/>
            </w:tcBorders>
            <w:noWrap w:val="0"/>
            <w:vAlign w:val="top"/>
          </w:tcPr>
          <w:p w14:paraId="68FCD979">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461058B3">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477FE771">
            <w:pPr>
              <w:pStyle w:val="14"/>
              <w:spacing w:line="360" w:lineRule="auto"/>
              <w:ind w:right="127"/>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具有良好的商业信誉和健全的财务会计制度</w:t>
            </w:r>
          </w:p>
        </w:tc>
        <w:tc>
          <w:tcPr>
            <w:tcW w:w="5804" w:type="dxa"/>
            <w:tcBorders>
              <w:top w:val="single" w:color="000000" w:sz="6" w:space="0"/>
              <w:left w:val="single" w:color="000000" w:sz="6" w:space="0"/>
              <w:bottom w:val="single" w:color="000000" w:sz="6" w:space="0"/>
            </w:tcBorders>
            <w:noWrap w:val="0"/>
            <w:vAlign w:val="center"/>
          </w:tcPr>
          <w:p w14:paraId="0FC70907">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提供2024年度的经第三方审计的审计报告复印件或近期（投标截止时间前三个月内）的基本开户银行出具的资信证明复印件</w:t>
            </w:r>
          </w:p>
        </w:tc>
      </w:tr>
      <w:tr w14:paraId="1C4849E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1041B0DC">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5E67B1A4">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421F3974">
            <w:pPr>
              <w:pStyle w:val="14"/>
              <w:spacing w:line="360" w:lineRule="auto"/>
              <w:ind w:right="127"/>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具有履行合同所必需的设备和专业技术能力</w:t>
            </w:r>
          </w:p>
        </w:tc>
        <w:tc>
          <w:tcPr>
            <w:tcW w:w="5804" w:type="dxa"/>
            <w:tcBorders>
              <w:top w:val="single" w:color="000000" w:sz="6" w:space="0"/>
              <w:left w:val="single" w:color="000000" w:sz="6" w:space="0"/>
              <w:bottom w:val="single" w:color="000000" w:sz="6" w:space="0"/>
            </w:tcBorders>
            <w:noWrap w:val="0"/>
            <w:vAlign w:val="center"/>
          </w:tcPr>
          <w:p w14:paraId="52D47ABC">
            <w:pPr>
              <w:pStyle w:val="14"/>
              <w:spacing w:line="360" w:lineRule="auto"/>
              <w:ind w:right="5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提供承诺函（格式自拟）；</w:t>
            </w:r>
          </w:p>
        </w:tc>
      </w:tr>
      <w:tr w14:paraId="70C5733D">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10A0E487">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474FE7F9">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735F1FB">
            <w:pPr>
              <w:pStyle w:val="14"/>
              <w:spacing w:line="360" w:lineRule="auto"/>
              <w:ind w:right="12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参加政府采购活动前三年内，在经营活动中没有重大违法记录</w:t>
            </w:r>
          </w:p>
        </w:tc>
        <w:tc>
          <w:tcPr>
            <w:tcW w:w="5804" w:type="dxa"/>
            <w:tcBorders>
              <w:top w:val="single" w:color="000000" w:sz="6" w:space="0"/>
              <w:left w:val="single" w:color="000000" w:sz="6" w:space="0"/>
              <w:bottom w:val="single" w:color="000000" w:sz="6" w:space="0"/>
            </w:tcBorders>
            <w:noWrap w:val="0"/>
            <w:vAlign w:val="center"/>
          </w:tcPr>
          <w:p w14:paraId="4043E3B4">
            <w:pPr>
              <w:pStyle w:val="14"/>
              <w:spacing w:line="360" w:lineRule="auto"/>
              <w:ind w:right="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提供参加采购活动前三年内在经营活动中没有重大违法记录的书面声明</w:t>
            </w:r>
          </w:p>
        </w:tc>
      </w:tr>
      <w:tr w14:paraId="1A45933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861" w:hRule="atLeast"/>
          <w:jc w:val="center"/>
        </w:trPr>
        <w:tc>
          <w:tcPr>
            <w:tcW w:w="735" w:type="dxa"/>
            <w:vMerge w:val="continue"/>
            <w:tcBorders>
              <w:left w:val="single" w:color="auto" w:sz="4" w:space="0"/>
              <w:right w:val="single" w:color="auto" w:sz="4" w:space="0"/>
            </w:tcBorders>
            <w:noWrap w:val="0"/>
            <w:vAlign w:val="top"/>
          </w:tcPr>
          <w:p w14:paraId="25C359ED">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081E0378">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5EAF7D8">
            <w:pPr>
              <w:pStyle w:val="14"/>
              <w:spacing w:line="360" w:lineRule="auto"/>
              <w:ind w:right="12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诚信资格要求</w:t>
            </w:r>
          </w:p>
        </w:tc>
        <w:tc>
          <w:tcPr>
            <w:tcW w:w="5804" w:type="dxa"/>
            <w:tcBorders>
              <w:top w:val="single" w:color="000000" w:sz="6" w:space="0"/>
              <w:left w:val="single" w:color="000000" w:sz="6" w:space="0"/>
              <w:bottom w:val="single" w:color="000000" w:sz="6" w:space="0"/>
            </w:tcBorders>
            <w:noWrap w:val="0"/>
            <w:vAlign w:val="center"/>
          </w:tcPr>
          <w:p w14:paraId="68B35F76">
            <w:pPr>
              <w:pStyle w:val="14"/>
              <w:spacing w:line="360" w:lineRule="auto"/>
              <w:ind w:right="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p>
        </w:tc>
      </w:tr>
      <w:tr w14:paraId="6A031D45">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79"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215374A7">
            <w:pPr>
              <w:pStyle w:val="14"/>
              <w:spacing w:before="157" w:line="360" w:lineRule="auto"/>
              <w:jc w:val="center"/>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lang w:val="en-US"/>
              </w:rPr>
              <w:t>2</w:t>
            </w:r>
          </w:p>
        </w:tc>
        <w:tc>
          <w:tcPr>
            <w:tcW w:w="1258" w:type="dxa"/>
            <w:vMerge w:val="restart"/>
            <w:tcBorders>
              <w:top w:val="single" w:color="auto" w:sz="4" w:space="0"/>
              <w:left w:val="single" w:color="auto" w:sz="4" w:space="0"/>
              <w:right w:val="single" w:color="auto" w:sz="4" w:space="0"/>
            </w:tcBorders>
            <w:noWrap w:val="0"/>
            <w:vAlign w:val="center"/>
          </w:tcPr>
          <w:p w14:paraId="1D7526E0">
            <w:pPr>
              <w:pStyle w:val="14"/>
              <w:spacing w:line="360" w:lineRule="auto"/>
              <w:jc w:val="center"/>
              <w:rPr>
                <w:rFonts w:hint="eastAsia" w:ascii="宋体" w:hAnsi="宋体" w:eastAsia="宋体" w:cs="宋体"/>
                <w:color w:val="000000"/>
                <w:sz w:val="24"/>
                <w:highlight w:val="none"/>
              </w:rPr>
            </w:pPr>
          </w:p>
          <w:p w14:paraId="2709AB58">
            <w:pPr>
              <w:pStyle w:val="14"/>
              <w:spacing w:line="360" w:lineRule="auto"/>
              <w:jc w:val="center"/>
              <w:rPr>
                <w:rFonts w:hint="eastAsia" w:ascii="宋体" w:hAnsi="宋体" w:eastAsia="宋体" w:cs="宋体"/>
                <w:color w:val="000000"/>
                <w:sz w:val="24"/>
                <w:highlight w:val="none"/>
              </w:rPr>
            </w:pPr>
          </w:p>
          <w:p w14:paraId="6E95ED2C">
            <w:pPr>
              <w:pStyle w:val="14"/>
              <w:spacing w:line="360" w:lineRule="auto"/>
              <w:jc w:val="center"/>
              <w:rPr>
                <w:rFonts w:hint="eastAsia" w:ascii="宋体" w:hAnsi="宋体" w:eastAsia="宋体" w:cs="宋体"/>
                <w:color w:val="000000"/>
                <w:sz w:val="24"/>
                <w:highlight w:val="none"/>
              </w:rPr>
            </w:pPr>
          </w:p>
          <w:p w14:paraId="125AAB2A">
            <w:pPr>
              <w:pStyle w:val="14"/>
              <w:spacing w:line="360" w:lineRule="auto"/>
              <w:jc w:val="center"/>
              <w:rPr>
                <w:rFonts w:hint="eastAsia" w:ascii="宋体" w:hAnsi="宋体" w:eastAsia="宋体" w:cs="宋体"/>
                <w:color w:val="000000"/>
                <w:sz w:val="24"/>
                <w:highlight w:val="none"/>
              </w:rPr>
            </w:pPr>
          </w:p>
          <w:p w14:paraId="14F9A55D">
            <w:pPr>
              <w:pStyle w:val="14"/>
              <w:spacing w:line="360" w:lineRule="auto"/>
              <w:jc w:val="center"/>
              <w:rPr>
                <w:rFonts w:hint="eastAsia" w:ascii="宋体" w:hAnsi="宋体" w:eastAsia="宋体" w:cs="宋体"/>
                <w:color w:val="000000"/>
                <w:sz w:val="24"/>
                <w:highlight w:val="none"/>
              </w:rPr>
            </w:pPr>
          </w:p>
          <w:p w14:paraId="120766FF">
            <w:pPr>
              <w:pStyle w:val="14"/>
              <w:spacing w:before="157" w:line="360" w:lineRule="auto"/>
              <w:jc w:val="center"/>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lang w:val="en-US"/>
              </w:rPr>
              <w:t>实质性响应评审</w:t>
            </w: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428BAEC4">
            <w:pPr>
              <w:pStyle w:val="14"/>
              <w:spacing w:line="360" w:lineRule="auto"/>
              <w:ind w:right="127"/>
              <w:jc w:val="center"/>
              <w:rPr>
                <w:rFonts w:hint="eastAsia" w:ascii="宋体" w:hAnsi="宋体" w:eastAsia="宋体" w:cs="宋体"/>
                <w:color w:val="000000"/>
                <w:sz w:val="24"/>
                <w:highlight w:val="none"/>
              </w:rPr>
            </w:pPr>
          </w:p>
          <w:p w14:paraId="3EB23A5D">
            <w:pPr>
              <w:pStyle w:val="14"/>
              <w:spacing w:line="360" w:lineRule="auto"/>
              <w:ind w:right="12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w:t>
            </w:r>
          </w:p>
        </w:tc>
        <w:tc>
          <w:tcPr>
            <w:tcW w:w="5804" w:type="dxa"/>
            <w:tcBorders>
              <w:top w:val="single" w:color="000000" w:sz="6" w:space="0"/>
              <w:left w:val="single" w:color="000000" w:sz="6" w:space="0"/>
              <w:bottom w:val="single" w:color="000000" w:sz="6" w:space="0"/>
            </w:tcBorders>
            <w:noWrap w:val="0"/>
            <w:vAlign w:val="top"/>
          </w:tcPr>
          <w:p w14:paraId="46A696FE">
            <w:pPr>
              <w:pStyle w:val="14"/>
              <w:spacing w:before="23" w:line="360" w:lineRule="auto"/>
              <w:ind w:left="525" w:right="31" w:hanging="411"/>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与三证合一的营业执照上的名称一致，不一致的应有工商行政管理部门出具的变更证明</w:t>
            </w:r>
          </w:p>
        </w:tc>
      </w:tr>
      <w:tr w14:paraId="4D66B41E">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469" w:hRule="atLeast"/>
          <w:jc w:val="center"/>
        </w:trPr>
        <w:tc>
          <w:tcPr>
            <w:tcW w:w="735" w:type="dxa"/>
            <w:vMerge w:val="continue"/>
            <w:tcBorders>
              <w:left w:val="single" w:color="auto" w:sz="4" w:space="0"/>
              <w:right w:val="single" w:color="auto" w:sz="4" w:space="0"/>
            </w:tcBorders>
            <w:noWrap w:val="0"/>
            <w:vAlign w:val="top"/>
          </w:tcPr>
          <w:p w14:paraId="3599280A">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1916DABA">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62EDE92">
            <w:pPr>
              <w:pStyle w:val="14"/>
              <w:spacing w:line="360" w:lineRule="auto"/>
              <w:ind w:left="156" w:right="12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投标文件签字盖章</w:t>
            </w:r>
          </w:p>
        </w:tc>
        <w:tc>
          <w:tcPr>
            <w:tcW w:w="5804" w:type="dxa"/>
            <w:tcBorders>
              <w:top w:val="single" w:color="000000" w:sz="6" w:space="0"/>
              <w:left w:val="single" w:color="000000" w:sz="6" w:space="0"/>
              <w:bottom w:val="single" w:color="000000" w:sz="6" w:space="0"/>
            </w:tcBorders>
            <w:noWrap w:val="0"/>
            <w:vAlign w:val="center"/>
          </w:tcPr>
          <w:p w14:paraId="19DEC106">
            <w:pPr>
              <w:pStyle w:val="14"/>
              <w:spacing w:line="360" w:lineRule="auto"/>
              <w:ind w:right="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符合招标文件要求</w:t>
            </w:r>
          </w:p>
        </w:tc>
      </w:tr>
      <w:tr w14:paraId="3CAF1A5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288" w:hRule="atLeast"/>
          <w:jc w:val="center"/>
        </w:trPr>
        <w:tc>
          <w:tcPr>
            <w:tcW w:w="735" w:type="dxa"/>
            <w:vMerge w:val="continue"/>
            <w:tcBorders>
              <w:left w:val="single" w:color="auto" w:sz="4" w:space="0"/>
              <w:right w:val="single" w:color="auto" w:sz="4" w:space="0"/>
            </w:tcBorders>
            <w:noWrap w:val="0"/>
            <w:vAlign w:val="top"/>
          </w:tcPr>
          <w:p w14:paraId="64AF8439">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7B75258F">
            <w:pPr>
              <w:spacing w:line="360" w:lineRule="auto"/>
              <w:rPr>
                <w:rFonts w:hint="eastAsia" w:ascii="宋体" w:hAnsi="宋体" w:eastAsia="宋体" w:cs="宋体"/>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2DF8EE6A">
            <w:pPr>
              <w:pStyle w:val="14"/>
              <w:spacing w:line="360" w:lineRule="auto"/>
              <w:rPr>
                <w:rFonts w:hint="eastAsia" w:ascii="宋体" w:hAnsi="宋体" w:eastAsia="宋体" w:cs="宋体"/>
                <w:color w:val="000000"/>
                <w:sz w:val="24"/>
                <w:highlight w:val="none"/>
              </w:rPr>
            </w:pPr>
          </w:p>
          <w:p w14:paraId="1FB85C2C">
            <w:pPr>
              <w:pStyle w:val="14"/>
              <w:spacing w:line="360" w:lineRule="auto"/>
              <w:ind w:right="127" w:firstLine="240" w:firstLineChars="10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投标报价有效性</w:t>
            </w:r>
          </w:p>
        </w:tc>
        <w:tc>
          <w:tcPr>
            <w:tcW w:w="5804" w:type="dxa"/>
            <w:tcBorders>
              <w:top w:val="single" w:color="000000" w:sz="6" w:space="0"/>
              <w:left w:val="single" w:color="000000" w:sz="6" w:space="0"/>
              <w:bottom w:val="single" w:color="000000" w:sz="6" w:space="0"/>
            </w:tcBorders>
            <w:noWrap w:val="0"/>
            <w:vAlign w:val="top"/>
          </w:tcPr>
          <w:p w14:paraId="70039292">
            <w:pPr>
              <w:pStyle w:val="14"/>
              <w:spacing w:before="152" w:line="360" w:lineRule="auto"/>
              <w:ind w:left="92" w:right="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只能有一个投标报价，投标文件未提供选择性报价或有两个以上（含两个）投标报价，且未超过</w:t>
            </w:r>
          </w:p>
          <w:p w14:paraId="5A6E1E10">
            <w:pPr>
              <w:pStyle w:val="14"/>
              <w:spacing w:before="4" w:line="360" w:lineRule="auto"/>
              <w:ind w:left="89" w:right="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最高投标限价</w:t>
            </w:r>
          </w:p>
        </w:tc>
      </w:tr>
      <w:tr w14:paraId="4803E0BE">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5DA19B01">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72024731">
            <w:pPr>
              <w:spacing w:line="360" w:lineRule="auto"/>
              <w:rPr>
                <w:rFonts w:hint="eastAsia" w:ascii="宋体" w:hAnsi="宋体" w:eastAsia="宋体" w:cs="宋体"/>
                <w:color w:val="000000"/>
                <w:sz w:val="24"/>
                <w:highlight w:val="none"/>
              </w:rPr>
            </w:pPr>
          </w:p>
        </w:tc>
        <w:tc>
          <w:tcPr>
            <w:tcW w:w="2258" w:type="dxa"/>
            <w:noWrap w:val="0"/>
            <w:vAlign w:val="center"/>
          </w:tcPr>
          <w:p w14:paraId="16399A40">
            <w:pPr>
              <w:pStyle w:val="14"/>
              <w:spacing w:before="139"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rPr>
              <w:t>报价在限价以内</w:t>
            </w:r>
          </w:p>
        </w:tc>
        <w:tc>
          <w:tcPr>
            <w:tcW w:w="5804" w:type="dxa"/>
            <w:noWrap w:val="0"/>
            <w:vAlign w:val="center"/>
          </w:tcPr>
          <w:p w14:paraId="3A8CE593">
            <w:pPr>
              <w:pStyle w:val="14"/>
              <w:spacing w:before="139" w:line="360" w:lineRule="auto"/>
              <w:ind w:left="106"/>
              <w:jc w:val="left"/>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rPr>
              <w:t>投标报价不得超过拦标价</w:t>
            </w:r>
          </w:p>
        </w:tc>
      </w:tr>
      <w:tr w14:paraId="2E44557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2B2E305D">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43046CF8">
            <w:pPr>
              <w:spacing w:line="360" w:lineRule="auto"/>
              <w:rPr>
                <w:rFonts w:hint="eastAsia" w:ascii="宋体" w:hAnsi="宋体" w:eastAsia="宋体" w:cs="宋体"/>
                <w:color w:val="000000"/>
                <w:sz w:val="24"/>
                <w:highlight w:val="none"/>
              </w:rPr>
            </w:pPr>
          </w:p>
        </w:tc>
        <w:tc>
          <w:tcPr>
            <w:tcW w:w="2258" w:type="dxa"/>
            <w:noWrap w:val="0"/>
            <w:vAlign w:val="center"/>
          </w:tcPr>
          <w:p w14:paraId="395DD0C8">
            <w:pPr>
              <w:pStyle w:val="14"/>
              <w:spacing w:before="1"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交货期</w:t>
            </w:r>
          </w:p>
        </w:tc>
        <w:tc>
          <w:tcPr>
            <w:tcW w:w="5804" w:type="dxa"/>
            <w:noWrap w:val="0"/>
            <w:vAlign w:val="center"/>
          </w:tcPr>
          <w:p w14:paraId="4CBB3651">
            <w:pPr>
              <w:pStyle w:val="14"/>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2025年8月15日内供货、安装调试、通过验收并投入使用。</w:t>
            </w:r>
          </w:p>
        </w:tc>
      </w:tr>
      <w:tr w14:paraId="5426AE65">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3EFBF599">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7388981A">
            <w:pPr>
              <w:spacing w:line="360" w:lineRule="auto"/>
              <w:rPr>
                <w:rFonts w:hint="eastAsia" w:ascii="宋体" w:hAnsi="宋体" w:eastAsia="宋体" w:cs="宋体"/>
                <w:color w:val="000000"/>
                <w:sz w:val="24"/>
                <w:highlight w:val="none"/>
              </w:rPr>
            </w:pPr>
          </w:p>
        </w:tc>
        <w:tc>
          <w:tcPr>
            <w:tcW w:w="2258" w:type="dxa"/>
            <w:noWrap w:val="0"/>
            <w:vAlign w:val="center"/>
          </w:tcPr>
          <w:p w14:paraId="5614393D">
            <w:pPr>
              <w:pStyle w:val="14"/>
              <w:spacing w:before="1"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投标范围</w:t>
            </w:r>
          </w:p>
        </w:tc>
        <w:tc>
          <w:tcPr>
            <w:tcW w:w="5804" w:type="dxa"/>
            <w:noWrap w:val="0"/>
            <w:vAlign w:val="center"/>
          </w:tcPr>
          <w:p w14:paraId="65A2E299">
            <w:pPr>
              <w:pStyle w:val="14"/>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en-US"/>
              </w:rPr>
              <w:t>详见采购清单</w:t>
            </w:r>
          </w:p>
        </w:tc>
      </w:tr>
      <w:tr w14:paraId="561277BB">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2C51C83B">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6B54A3ED">
            <w:pPr>
              <w:spacing w:line="360" w:lineRule="auto"/>
              <w:rPr>
                <w:rFonts w:hint="eastAsia" w:ascii="宋体" w:hAnsi="宋体" w:eastAsia="宋体" w:cs="宋体"/>
                <w:color w:val="000000"/>
                <w:sz w:val="24"/>
                <w:highlight w:val="none"/>
              </w:rPr>
            </w:pPr>
          </w:p>
        </w:tc>
        <w:tc>
          <w:tcPr>
            <w:tcW w:w="2258" w:type="dxa"/>
            <w:noWrap w:val="0"/>
            <w:vAlign w:val="center"/>
          </w:tcPr>
          <w:p w14:paraId="17772428">
            <w:pPr>
              <w:pStyle w:val="14"/>
              <w:spacing w:before="1"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5804" w:type="dxa"/>
            <w:noWrap w:val="0"/>
            <w:vAlign w:val="center"/>
          </w:tcPr>
          <w:p w14:paraId="1F6906F7">
            <w:pPr>
              <w:pStyle w:val="14"/>
              <w:spacing w:line="360" w:lineRule="auto"/>
              <w:ind w:left="106"/>
              <w:jc w:val="left"/>
              <w:rPr>
                <w:rFonts w:hint="eastAsia" w:ascii="宋体" w:hAnsi="宋体" w:eastAsia="宋体" w:cs="宋体"/>
                <w:sz w:val="24"/>
                <w:highlight w:val="none"/>
              </w:rPr>
            </w:pPr>
            <w:r>
              <w:rPr>
                <w:rFonts w:hint="eastAsia" w:ascii="宋体" w:hAnsi="宋体" w:eastAsia="宋体" w:cs="宋体"/>
                <w:sz w:val="24"/>
                <w:highlight w:val="none"/>
                <w:lang w:val="en-US"/>
              </w:rPr>
              <w:t>90天</w:t>
            </w:r>
          </w:p>
        </w:tc>
      </w:tr>
      <w:tr w14:paraId="2102E187">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C36E08A">
            <w:pPr>
              <w:spacing w:line="360" w:lineRule="auto"/>
              <w:rPr>
                <w:rFonts w:hint="eastAsia" w:ascii="宋体" w:hAnsi="宋体" w:eastAsia="宋体" w:cs="宋体"/>
                <w:color w:val="000000"/>
                <w:sz w:val="24"/>
                <w:highlight w:val="none"/>
              </w:rPr>
            </w:pPr>
          </w:p>
        </w:tc>
        <w:tc>
          <w:tcPr>
            <w:tcW w:w="1258" w:type="dxa"/>
            <w:vMerge w:val="continue"/>
            <w:tcBorders>
              <w:left w:val="single" w:color="auto" w:sz="4" w:space="0"/>
              <w:right w:val="single" w:color="auto" w:sz="4" w:space="0"/>
            </w:tcBorders>
            <w:noWrap w:val="0"/>
            <w:vAlign w:val="top"/>
          </w:tcPr>
          <w:p w14:paraId="62BA33FE">
            <w:pPr>
              <w:spacing w:line="360" w:lineRule="auto"/>
              <w:rPr>
                <w:rFonts w:hint="eastAsia" w:ascii="宋体" w:hAnsi="宋体" w:eastAsia="宋体" w:cs="宋体"/>
                <w:color w:val="000000"/>
                <w:sz w:val="24"/>
                <w:highlight w:val="none"/>
              </w:rPr>
            </w:pPr>
          </w:p>
        </w:tc>
        <w:tc>
          <w:tcPr>
            <w:tcW w:w="2258" w:type="dxa"/>
            <w:noWrap w:val="0"/>
            <w:vAlign w:val="center"/>
          </w:tcPr>
          <w:p w14:paraId="1AD48268">
            <w:pPr>
              <w:pStyle w:val="14"/>
              <w:spacing w:before="1"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5804" w:type="dxa"/>
            <w:noWrap w:val="0"/>
            <w:vAlign w:val="top"/>
          </w:tcPr>
          <w:p w14:paraId="19D24DA5">
            <w:pPr>
              <w:pStyle w:val="14"/>
              <w:spacing w:line="360" w:lineRule="auto"/>
              <w:jc w:val="left"/>
              <w:rPr>
                <w:rFonts w:hint="eastAsia" w:ascii="宋体" w:hAnsi="宋体" w:eastAsia="宋体" w:cs="宋体"/>
                <w:color w:val="auto"/>
                <w:sz w:val="24"/>
                <w:highlight w:val="none"/>
                <w:lang w:val="en-US"/>
              </w:rPr>
            </w:pPr>
            <w:r>
              <w:rPr>
                <w:rFonts w:hint="eastAsia" w:ascii="宋体" w:hAnsi="宋体" w:eastAsia="宋体" w:cs="宋体"/>
                <w:color w:val="auto"/>
                <w:kern w:val="0"/>
                <w:sz w:val="24"/>
                <w:highlight w:val="none"/>
                <w:lang w:val="en-US" w:eastAsia="zh-CN"/>
              </w:rPr>
              <w:t>货物使用半年后组织验收，验收合格后支付合同总金额的95%，余下合同总金额的5%待验收满一年后无息支付。</w:t>
            </w:r>
          </w:p>
        </w:tc>
      </w:tr>
    </w:tbl>
    <w:p w14:paraId="472B718F">
      <w:pPr>
        <w:numPr>
          <w:ilvl w:val="0"/>
          <w:numId w:val="4"/>
        </w:num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color w:val="000000"/>
          <w:sz w:val="24"/>
          <w:szCs w:val="21"/>
          <w:highlight w:val="none"/>
        </w:rPr>
        <w:t>详细评审评分标准</w:t>
      </w:r>
    </w:p>
    <w:tbl>
      <w:tblPr>
        <w:tblStyle w:val="11"/>
        <w:tblpPr w:leftFromText="180" w:rightFromText="180" w:vertAnchor="text" w:horzAnchor="page" w:tblpXSpec="center" w:tblpY="197"/>
        <w:tblOverlap w:val="never"/>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35"/>
        <w:gridCol w:w="1119"/>
        <w:gridCol w:w="6542"/>
        <w:gridCol w:w="1041"/>
      </w:tblGrid>
      <w:tr w14:paraId="4DF0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exact"/>
          <w:jc w:val="center"/>
        </w:trPr>
        <w:tc>
          <w:tcPr>
            <w:tcW w:w="1135" w:type="dxa"/>
            <w:noWrap w:val="0"/>
            <w:vAlign w:val="center"/>
          </w:tcPr>
          <w:p w14:paraId="23927FC2">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119" w:type="dxa"/>
            <w:noWrap w:val="0"/>
            <w:vAlign w:val="center"/>
          </w:tcPr>
          <w:p w14:paraId="7F854863">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w:t>
            </w:r>
          </w:p>
          <w:p w14:paraId="5DAE1AEA">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w:t>
            </w:r>
          </w:p>
        </w:tc>
        <w:tc>
          <w:tcPr>
            <w:tcW w:w="6542" w:type="dxa"/>
            <w:noWrap w:val="0"/>
            <w:vAlign w:val="center"/>
          </w:tcPr>
          <w:p w14:paraId="098C26F3">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详细评分标准</w:t>
            </w:r>
          </w:p>
        </w:tc>
        <w:tc>
          <w:tcPr>
            <w:tcW w:w="1041" w:type="dxa"/>
            <w:noWrap w:val="0"/>
            <w:vAlign w:val="center"/>
          </w:tcPr>
          <w:p w14:paraId="2466C7FD">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分值</w:t>
            </w:r>
          </w:p>
        </w:tc>
      </w:tr>
      <w:tr w14:paraId="69FB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exact"/>
          <w:jc w:val="center"/>
        </w:trPr>
        <w:tc>
          <w:tcPr>
            <w:tcW w:w="9837" w:type="dxa"/>
            <w:gridSpan w:val="4"/>
            <w:noWrap w:val="0"/>
            <w:vAlign w:val="center"/>
          </w:tcPr>
          <w:p w14:paraId="44FBAC8D">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（一）投标报价30分</w:t>
            </w:r>
          </w:p>
        </w:tc>
      </w:tr>
      <w:tr w14:paraId="701A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61" w:hRule="exact"/>
          <w:jc w:val="center"/>
        </w:trPr>
        <w:tc>
          <w:tcPr>
            <w:tcW w:w="1135" w:type="dxa"/>
            <w:noWrap w:val="0"/>
            <w:vAlign w:val="center"/>
          </w:tcPr>
          <w:p w14:paraId="049C09C0">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119" w:type="dxa"/>
            <w:noWrap w:val="0"/>
            <w:vAlign w:val="center"/>
          </w:tcPr>
          <w:p w14:paraId="005446AB">
            <w:pPr>
              <w:adjustRightInd w:val="0"/>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w:t>
            </w:r>
          </w:p>
        </w:tc>
        <w:tc>
          <w:tcPr>
            <w:tcW w:w="6542" w:type="dxa"/>
            <w:noWrap w:val="0"/>
            <w:vAlign w:val="center"/>
          </w:tcPr>
          <w:p w14:paraId="026C275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000000"/>
                <w:sz w:val="24"/>
                <w:highlight w:val="none"/>
              </w:rPr>
              <w:t>满足招标文件要求且投标价格最</w:t>
            </w:r>
            <w:r>
              <w:rPr>
                <w:rFonts w:hint="eastAsia" w:ascii="宋体" w:hAnsi="宋体" w:eastAsia="宋体" w:cs="宋体"/>
                <w:color w:val="auto"/>
                <w:sz w:val="24"/>
                <w:highlight w:val="none"/>
              </w:rPr>
              <w:t>低的</w:t>
            </w:r>
            <w:r>
              <w:rPr>
                <w:rFonts w:hint="eastAsia" w:ascii="宋体" w:hAnsi="宋体" w:eastAsia="宋体" w:cs="宋体"/>
                <w:color w:val="auto"/>
                <w:sz w:val="24"/>
                <w:highlight w:val="none"/>
                <w:lang w:eastAsia="zh-CN"/>
              </w:rPr>
              <w:t>投标报价</w:t>
            </w:r>
            <w:r>
              <w:rPr>
                <w:rFonts w:hint="eastAsia" w:ascii="宋体" w:hAnsi="宋体" w:eastAsia="宋体" w:cs="宋体"/>
                <w:color w:val="auto"/>
                <w:sz w:val="24"/>
                <w:highlight w:val="none"/>
              </w:rPr>
              <w:t>为评标基准价（但不得低于产品成本价），其投标人的报价分为最高分30分。其他投标人的报价分按以下公式计算：报价得分=(评标基准价／投标人报价)×30。</w:t>
            </w:r>
          </w:p>
          <w:p w14:paraId="57A27D8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备注：1、评标基准价为满足招标文件要求且经评审投标价 </w:t>
            </w:r>
          </w:p>
          <w:p w14:paraId="068F39F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格最低的投标报价； </w:t>
            </w:r>
          </w:p>
          <w:p w14:paraId="232B339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2、得分取两位小数点，第三位四舍五入。 </w:t>
            </w:r>
          </w:p>
          <w:p w14:paraId="2F2CD91C">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auto"/>
                <w:sz w:val="24"/>
                <w:highlight w:val="none"/>
              </w:rPr>
              <w:t>3、注：投标人的报价，若经</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认定低于成本价评审。</w:t>
            </w:r>
            <w:r>
              <w:rPr>
                <w:rFonts w:hint="eastAsia" w:ascii="宋体" w:hAnsi="宋体" w:eastAsia="宋体" w:cs="宋体"/>
                <w:color w:val="auto"/>
                <w:sz w:val="24"/>
                <w:highlight w:val="none"/>
                <w:lang w:eastAsia="zh-CN"/>
              </w:rPr>
              <w:t>评标委员会</w:t>
            </w:r>
            <w:r>
              <w:rPr>
                <w:rFonts w:hint="eastAsia" w:ascii="宋体" w:hAnsi="宋体" w:eastAsia="宋体" w:cs="宋体"/>
                <w:color w:val="auto"/>
                <w:sz w:val="24"/>
                <w:highlight w:val="none"/>
              </w:rPr>
              <w:t>可要求投标人提供相关证明材料，以说明该报价未低于成本。如递交的证明材料（包含但</w:t>
            </w:r>
            <w:r>
              <w:rPr>
                <w:rFonts w:hint="eastAsia" w:ascii="宋体" w:hAnsi="宋体" w:eastAsia="宋体" w:cs="宋体"/>
                <w:color w:val="000000"/>
                <w:sz w:val="24"/>
                <w:highlight w:val="none"/>
              </w:rPr>
              <w:t xml:space="preserve">不限于制造原材料成本、专利费、运输费、人工工资、税金等，并结合公司历年财务报表，盈亏情况，债务抵押情况等足以说明的书面报告）经评审不足以说明或未递交证明材料，则该投标人的报价视为低于成本报价，该投标人报价视为无效报价，且评审得分为0分。（证明材料需在规定时间10分钟内提供，若提供不出，视为恶意竞标，作废标处理。） </w:t>
            </w:r>
          </w:p>
        </w:tc>
        <w:tc>
          <w:tcPr>
            <w:tcW w:w="1041" w:type="dxa"/>
            <w:noWrap w:val="0"/>
            <w:vAlign w:val="center"/>
          </w:tcPr>
          <w:p w14:paraId="775B6507">
            <w:pPr>
              <w:adjustRightInd w:val="0"/>
              <w:snapToGrid w:val="0"/>
              <w:spacing w:line="36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30分</w:t>
            </w:r>
          </w:p>
        </w:tc>
      </w:tr>
      <w:tr w14:paraId="26D9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9837" w:type="dxa"/>
            <w:gridSpan w:val="4"/>
            <w:tcBorders>
              <w:bottom w:val="single" w:color="auto" w:sz="4" w:space="0"/>
            </w:tcBorders>
            <w:noWrap w:val="0"/>
            <w:vAlign w:val="center"/>
          </w:tcPr>
          <w:p w14:paraId="7474FD69">
            <w:pPr>
              <w:adjustRightInd w:val="0"/>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（二）技术部分</w:t>
            </w:r>
            <w:r>
              <w:rPr>
                <w:rFonts w:hint="eastAsia" w:ascii="宋体" w:hAnsi="宋体" w:eastAsia="宋体" w:cs="宋体"/>
                <w:b/>
                <w:bCs/>
                <w:color w:val="000000"/>
                <w:sz w:val="24"/>
                <w:highlight w:val="none"/>
                <w:lang w:val="en-US" w:eastAsia="zh-CN"/>
              </w:rPr>
              <w:t>30</w:t>
            </w:r>
            <w:r>
              <w:rPr>
                <w:rFonts w:hint="eastAsia" w:ascii="宋体" w:hAnsi="宋体" w:eastAsia="宋体" w:cs="宋体"/>
                <w:b/>
                <w:bCs/>
                <w:color w:val="000000"/>
                <w:sz w:val="24"/>
                <w:highlight w:val="none"/>
              </w:rPr>
              <w:t>分</w:t>
            </w:r>
          </w:p>
        </w:tc>
      </w:tr>
      <w:tr w14:paraId="505B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64" w:hRule="exact"/>
          <w:jc w:val="center"/>
        </w:trPr>
        <w:tc>
          <w:tcPr>
            <w:tcW w:w="1135" w:type="dxa"/>
            <w:tcBorders>
              <w:top w:val="single" w:color="auto" w:sz="4" w:space="0"/>
              <w:left w:val="single" w:color="auto" w:sz="4" w:space="0"/>
              <w:bottom w:val="single" w:color="auto" w:sz="4" w:space="0"/>
            </w:tcBorders>
            <w:noWrap w:val="0"/>
            <w:vAlign w:val="center"/>
          </w:tcPr>
          <w:p w14:paraId="7E77C957">
            <w:pPr>
              <w:adjustRightInd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119" w:type="dxa"/>
            <w:tcBorders>
              <w:top w:val="single" w:color="auto" w:sz="4" w:space="0"/>
              <w:bottom w:val="single" w:color="auto" w:sz="4" w:space="0"/>
            </w:tcBorders>
            <w:noWrap w:val="0"/>
            <w:vAlign w:val="center"/>
          </w:tcPr>
          <w:p w14:paraId="00AE955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技术要求</w:t>
            </w:r>
          </w:p>
        </w:tc>
        <w:tc>
          <w:tcPr>
            <w:tcW w:w="6542" w:type="dxa"/>
            <w:tcBorders>
              <w:top w:val="single" w:color="auto" w:sz="4" w:space="0"/>
              <w:bottom w:val="single" w:color="auto" w:sz="4" w:space="0"/>
            </w:tcBorders>
            <w:noWrap w:val="0"/>
            <w:vAlign w:val="center"/>
          </w:tcPr>
          <w:p w14:paraId="59488BF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z w:val="24"/>
                <w:highlight w:val="none"/>
              </w:rPr>
              <w:t>根据招标文件中的技术参数进行评比：满</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p w14:paraId="3D04E18B">
            <w:pPr>
              <w:adjustRightInd w:val="0"/>
              <w:snapToGrid w:val="0"/>
              <w:spacing w:line="360" w:lineRule="auto"/>
              <w:rPr>
                <w:rFonts w:hint="eastAsia" w:ascii="宋体" w:hAnsi="宋体" w:eastAsia="宋体" w:cs="宋体"/>
                <w:sz w:val="24"/>
                <w:highlight w:val="none"/>
                <w:lang w:eastAsia="zh-CN"/>
              </w:rPr>
            </w:pPr>
            <w:r>
              <w:rPr>
                <w:rFonts w:hint="eastAsia" w:ascii="宋体" w:hAnsi="宋体" w:eastAsia="宋体" w:cs="宋体"/>
                <w:b/>
                <w:bCs/>
                <w:color w:val="auto"/>
                <w:sz w:val="24"/>
                <w:highlight w:val="none"/>
              </w:rPr>
              <w:t>技术参数完全满足采购文件要求得</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r>
              <w:rPr>
                <w:rFonts w:hint="eastAsia" w:ascii="宋体" w:hAnsi="宋体" w:eastAsia="宋体" w:cs="宋体"/>
                <w:b/>
                <w:bCs/>
                <w:sz w:val="24"/>
                <w:highlight w:val="none"/>
              </w:rPr>
              <w:t>每有一项负偏离扣</w:t>
            </w:r>
            <w:r>
              <w:rPr>
                <w:rFonts w:hint="eastAsia" w:ascii="宋体" w:hAnsi="宋体" w:eastAsia="宋体" w:cs="宋体"/>
                <w:b/>
                <w:bCs/>
                <w:sz w:val="24"/>
                <w:highlight w:val="none"/>
                <w:lang w:val="en-US" w:eastAsia="zh-CN"/>
              </w:rPr>
              <w:t>0.5</w:t>
            </w:r>
            <w:r>
              <w:rPr>
                <w:rFonts w:hint="eastAsia" w:ascii="宋体" w:hAnsi="宋体" w:eastAsia="宋体" w:cs="宋体"/>
                <w:b/>
                <w:bCs/>
                <w:sz w:val="24"/>
                <w:highlight w:val="none"/>
              </w:rPr>
              <w:t>分，累计扣完为0分止。</w:t>
            </w:r>
            <w:r>
              <w:rPr>
                <w:rFonts w:hint="eastAsia" w:ascii="宋体" w:hAnsi="宋体" w:eastAsia="宋体" w:cs="宋体"/>
                <w:sz w:val="24"/>
                <w:highlight w:val="none"/>
              </w:rPr>
              <w:t>注：投标响应文件必须按招标文件采购清单要求提供所投产品详细技术参数资料，偏离情况填写“技术参数响应偏离表”</w:t>
            </w:r>
            <w:r>
              <w:rPr>
                <w:rFonts w:hint="eastAsia" w:ascii="宋体" w:hAnsi="宋体" w:eastAsia="宋体" w:cs="宋体"/>
                <w:sz w:val="24"/>
                <w:highlight w:val="none"/>
                <w:lang w:eastAsia="zh-CN"/>
              </w:rPr>
              <w:t>。</w:t>
            </w:r>
            <w:bookmarkStart w:id="0" w:name="_GoBack"/>
            <w:bookmarkEnd w:id="0"/>
          </w:p>
        </w:tc>
        <w:tc>
          <w:tcPr>
            <w:tcW w:w="1041" w:type="dxa"/>
            <w:tcBorders>
              <w:top w:val="single" w:color="auto" w:sz="4" w:space="0"/>
              <w:bottom w:val="single" w:color="auto" w:sz="4" w:space="0"/>
              <w:right w:val="single" w:color="auto" w:sz="4" w:space="0"/>
            </w:tcBorders>
            <w:noWrap w:val="0"/>
            <w:vAlign w:val="center"/>
          </w:tcPr>
          <w:p w14:paraId="4E8CFEEF">
            <w:pPr>
              <w:adjustRightInd w:val="0"/>
              <w:snapToGrid w:val="0"/>
              <w:spacing w:line="360" w:lineRule="auto"/>
              <w:jc w:val="center"/>
              <w:rPr>
                <w:rFonts w:hint="eastAsia" w:ascii="宋体" w:hAnsi="宋体" w:eastAsia="宋体" w:cs="宋体"/>
                <w:b/>
                <w:bCs/>
                <w:sz w:val="24"/>
                <w:highlight w:val="none"/>
              </w:rPr>
            </w:pPr>
            <w:r>
              <w:rPr>
                <w:rFonts w:hint="eastAsia" w:ascii="宋体" w:hAnsi="宋体" w:eastAsia="宋体" w:cs="宋体"/>
                <w:b/>
                <w:bCs/>
                <w:color w:val="auto"/>
                <w:sz w:val="24"/>
                <w:highlight w:val="none"/>
                <w:lang w:val="en-US" w:eastAsia="zh-CN"/>
              </w:rPr>
              <w:t>30</w:t>
            </w:r>
            <w:r>
              <w:rPr>
                <w:rFonts w:hint="eastAsia" w:ascii="宋体" w:hAnsi="宋体" w:eastAsia="宋体" w:cs="宋体"/>
                <w:b/>
                <w:bCs/>
                <w:sz w:val="24"/>
                <w:highlight w:val="none"/>
              </w:rPr>
              <w:t>分</w:t>
            </w:r>
          </w:p>
        </w:tc>
      </w:tr>
      <w:tr w14:paraId="5795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9" w:hRule="exact"/>
          <w:jc w:val="center"/>
        </w:trPr>
        <w:tc>
          <w:tcPr>
            <w:tcW w:w="9837" w:type="dxa"/>
            <w:gridSpan w:val="4"/>
            <w:tcBorders>
              <w:top w:val="single" w:color="auto" w:sz="4" w:space="0"/>
              <w:left w:val="single" w:color="auto" w:sz="4" w:space="0"/>
              <w:bottom w:val="single" w:color="auto" w:sz="4" w:space="0"/>
              <w:right w:val="single" w:color="auto" w:sz="4" w:space="0"/>
            </w:tcBorders>
            <w:noWrap w:val="0"/>
            <w:vAlign w:val="center"/>
          </w:tcPr>
          <w:p w14:paraId="3DAF52E6">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（三）商务部分4</w:t>
            </w:r>
            <w:r>
              <w:rPr>
                <w:rFonts w:hint="eastAsia" w:ascii="宋体" w:hAnsi="宋体" w:eastAsia="宋体" w:cs="宋体"/>
                <w:b/>
                <w:bCs/>
                <w:color w:val="000000"/>
                <w:sz w:val="24"/>
                <w:highlight w:val="none"/>
                <w:lang w:val="en-US" w:eastAsia="zh-CN"/>
              </w:rPr>
              <w:t>0</w:t>
            </w:r>
            <w:r>
              <w:rPr>
                <w:rFonts w:hint="eastAsia" w:ascii="宋体" w:hAnsi="宋体" w:eastAsia="宋体" w:cs="宋体"/>
                <w:b/>
                <w:bCs/>
                <w:color w:val="000000"/>
                <w:sz w:val="24"/>
                <w:highlight w:val="none"/>
              </w:rPr>
              <w:t>分</w:t>
            </w:r>
          </w:p>
        </w:tc>
      </w:tr>
    </w:tbl>
    <w:p w14:paraId="14C7DF10">
      <w:pPr>
        <w:rPr>
          <w:rFonts w:hint="eastAsia" w:ascii="宋体" w:hAnsi="宋体" w:eastAsia="宋体" w:cs="宋体"/>
          <w:vanish/>
          <w:highlight w:val="none"/>
        </w:rPr>
      </w:pP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52"/>
        <w:gridCol w:w="6114"/>
        <w:gridCol w:w="1025"/>
      </w:tblGrid>
      <w:tr w14:paraId="09B6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jc w:val="center"/>
        </w:trPr>
        <w:tc>
          <w:tcPr>
            <w:tcW w:w="849" w:type="dxa"/>
            <w:noWrap w:val="0"/>
            <w:vAlign w:val="center"/>
          </w:tcPr>
          <w:p w14:paraId="0BC19BBB">
            <w:pPr>
              <w:pStyle w:val="14"/>
              <w:spacing w:before="1" w:line="360" w:lineRule="auto"/>
              <w:ind w:right="-61"/>
              <w:jc w:val="center"/>
              <w:rPr>
                <w:rFonts w:hint="eastAsia" w:ascii="宋体" w:hAnsi="宋体" w:eastAsia="宋体" w:cs="宋体"/>
                <w:bCs/>
                <w:color w:val="000000"/>
                <w:sz w:val="24"/>
                <w:highlight w:val="none"/>
                <w:lang w:val="en-US"/>
              </w:rPr>
            </w:pPr>
            <w:r>
              <w:rPr>
                <w:rFonts w:hint="eastAsia" w:ascii="宋体" w:hAnsi="宋体" w:eastAsia="宋体" w:cs="宋体"/>
                <w:bCs/>
                <w:color w:val="000000"/>
                <w:sz w:val="24"/>
                <w:highlight w:val="none"/>
                <w:lang w:val="en-US"/>
              </w:rPr>
              <w:t>3</w:t>
            </w:r>
          </w:p>
        </w:tc>
        <w:tc>
          <w:tcPr>
            <w:tcW w:w="1852" w:type="dxa"/>
            <w:noWrap w:val="0"/>
            <w:vAlign w:val="top"/>
          </w:tcPr>
          <w:p w14:paraId="3E074D72">
            <w:pPr>
              <w:pStyle w:val="14"/>
              <w:spacing w:line="360" w:lineRule="auto"/>
              <w:rPr>
                <w:rFonts w:hint="eastAsia" w:ascii="宋体" w:hAnsi="宋体" w:eastAsia="宋体" w:cs="宋体"/>
                <w:bCs/>
                <w:color w:val="000000"/>
                <w:sz w:val="24"/>
                <w:highlight w:val="none"/>
              </w:rPr>
            </w:pPr>
          </w:p>
          <w:p w14:paraId="72C4ACC1">
            <w:pPr>
              <w:pStyle w:val="14"/>
              <w:spacing w:line="360" w:lineRule="auto"/>
              <w:rPr>
                <w:rFonts w:hint="eastAsia" w:ascii="宋体" w:hAnsi="宋体" w:eastAsia="宋体" w:cs="宋体"/>
                <w:bCs/>
                <w:color w:val="000000"/>
                <w:sz w:val="24"/>
                <w:highlight w:val="none"/>
              </w:rPr>
            </w:pPr>
          </w:p>
          <w:p w14:paraId="3D48D7DD">
            <w:pPr>
              <w:pStyle w:val="14"/>
              <w:spacing w:before="1" w:line="360" w:lineRule="auto"/>
              <w:ind w:right="-61"/>
              <w:jc w:val="center"/>
              <w:rPr>
                <w:rFonts w:hint="eastAsia" w:ascii="宋体" w:hAnsi="宋体" w:eastAsia="宋体" w:cs="宋体"/>
                <w:bCs/>
                <w:color w:val="000000"/>
                <w:sz w:val="24"/>
                <w:highlight w:val="none"/>
              </w:rPr>
            </w:pPr>
          </w:p>
          <w:p w14:paraId="5B898499">
            <w:pPr>
              <w:pStyle w:val="14"/>
              <w:spacing w:before="1" w:line="360" w:lineRule="auto"/>
              <w:ind w:right="-61"/>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售后服务</w:t>
            </w:r>
            <w:r>
              <w:rPr>
                <w:rFonts w:hint="eastAsia" w:ascii="宋体" w:hAnsi="宋体" w:eastAsia="宋体" w:cs="宋体"/>
                <w:bCs/>
                <w:color w:val="000000"/>
                <w:sz w:val="24"/>
                <w:highlight w:val="none"/>
                <w:lang w:eastAsia="zh-CN"/>
              </w:rPr>
              <w:t>方案</w:t>
            </w:r>
          </w:p>
        </w:tc>
        <w:tc>
          <w:tcPr>
            <w:tcW w:w="6114" w:type="dxa"/>
            <w:noWrap w:val="0"/>
            <w:vAlign w:val="top"/>
          </w:tcPr>
          <w:p w14:paraId="7BE2733B">
            <w:pPr>
              <w:pStyle w:val="14"/>
              <w:spacing w:line="360" w:lineRule="auto"/>
              <w:ind w:right="95"/>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rPr>
              <w:t>投标人提供</w:t>
            </w:r>
            <w:r>
              <w:rPr>
                <w:rFonts w:hint="eastAsia" w:ascii="宋体" w:hAnsi="宋体" w:eastAsia="宋体" w:cs="宋体"/>
                <w:color w:val="000000"/>
                <w:sz w:val="24"/>
                <w:highlight w:val="none"/>
              </w:rPr>
              <w:t>设备售后服务方案（包括</w:t>
            </w:r>
            <w:r>
              <w:rPr>
                <w:rFonts w:hint="eastAsia" w:ascii="宋体" w:hAnsi="宋体" w:eastAsia="宋体" w:cs="宋体"/>
                <w:color w:val="000000"/>
                <w:sz w:val="24"/>
                <w:highlight w:val="none"/>
                <w:lang w:val="en-US" w:eastAsia="zh-CN"/>
              </w:rPr>
              <w:t>但不限于</w:t>
            </w:r>
            <w:r>
              <w:rPr>
                <w:rFonts w:hint="eastAsia" w:ascii="宋体" w:hAnsi="宋体" w:eastAsia="宋体" w:cs="宋体"/>
                <w:color w:val="000000"/>
                <w:sz w:val="24"/>
                <w:highlight w:val="none"/>
              </w:rPr>
              <w:t>设备调试、保修服务措施、保修服务标准、故障响应修复时间方式及保</w:t>
            </w:r>
            <w:r>
              <w:rPr>
                <w:rFonts w:hint="eastAsia" w:ascii="宋体" w:hAnsi="宋体" w:eastAsia="宋体" w:cs="宋体"/>
                <w:color w:val="000000"/>
                <w:spacing w:val="2"/>
                <w:sz w:val="24"/>
                <w:highlight w:val="none"/>
              </w:rPr>
              <w:t>障措施</w:t>
            </w:r>
            <w:r>
              <w:rPr>
                <w:rFonts w:hint="eastAsia" w:ascii="宋体" w:hAnsi="宋体" w:eastAsia="宋体" w:cs="宋体"/>
                <w:color w:val="000000"/>
                <w:spacing w:val="2"/>
                <w:sz w:val="24"/>
                <w:highlight w:val="none"/>
                <w:lang w:eastAsia="zh-CN"/>
              </w:rPr>
              <w:t>等</w:t>
            </w:r>
            <w:r>
              <w:rPr>
                <w:rFonts w:hint="eastAsia" w:ascii="宋体" w:hAnsi="宋体" w:eastAsia="宋体" w:cs="宋体"/>
                <w:color w:val="000000"/>
                <w:sz w:val="24"/>
                <w:highlight w:val="none"/>
              </w:rPr>
              <w:t>）</w:t>
            </w:r>
          </w:p>
          <w:p w14:paraId="5744CD77">
            <w:pPr>
              <w:pStyle w:val="14"/>
              <w:spacing w:line="360" w:lineRule="auto"/>
              <w:ind w:right="95"/>
              <w:rPr>
                <w:rFonts w:hint="eastAsia" w:ascii="宋体" w:hAnsi="宋体" w:eastAsia="宋体" w:cs="宋体"/>
                <w:sz w:val="24"/>
                <w:highlight w:val="none"/>
                <w:lang w:val="en-US"/>
              </w:rPr>
            </w:pPr>
            <w:r>
              <w:rPr>
                <w:rFonts w:hint="eastAsia" w:ascii="宋体" w:hAnsi="宋体" w:eastAsia="宋体" w:cs="宋体"/>
                <w:sz w:val="24"/>
                <w:highlight w:val="none"/>
                <w:lang w:val="en-US"/>
              </w:rPr>
              <w:t xml:space="preserve">①方案制作完善、条例清晰、过程严谨、完全满足采购人项目需求的得10分； </w:t>
            </w:r>
          </w:p>
          <w:p w14:paraId="5D71FEEE">
            <w:pPr>
              <w:pStyle w:val="14"/>
              <w:spacing w:line="360" w:lineRule="auto"/>
              <w:ind w:right="95"/>
              <w:rPr>
                <w:rFonts w:hint="eastAsia" w:ascii="宋体" w:hAnsi="宋体" w:eastAsia="宋体" w:cs="宋体"/>
                <w:sz w:val="24"/>
                <w:highlight w:val="none"/>
                <w:lang w:val="en-US"/>
              </w:rPr>
            </w:pPr>
            <w:r>
              <w:rPr>
                <w:rFonts w:hint="eastAsia" w:ascii="宋体" w:hAnsi="宋体" w:eastAsia="宋体" w:cs="宋体"/>
                <w:sz w:val="24"/>
                <w:highlight w:val="none"/>
                <w:lang w:val="en-US"/>
              </w:rPr>
              <w:t xml:space="preserve">②方案制作良好、条例比较清晰、过程比较严谨、能满足采购人项目需求的得7分； </w:t>
            </w:r>
          </w:p>
          <w:p w14:paraId="28AE003D">
            <w:pPr>
              <w:pStyle w:val="14"/>
              <w:spacing w:line="360" w:lineRule="auto"/>
              <w:ind w:right="95"/>
              <w:rPr>
                <w:rFonts w:hint="eastAsia" w:ascii="宋体" w:hAnsi="宋体" w:eastAsia="宋体" w:cs="宋体"/>
                <w:sz w:val="24"/>
                <w:highlight w:val="none"/>
                <w:lang w:val="en-US"/>
              </w:rPr>
            </w:pPr>
            <w:r>
              <w:rPr>
                <w:rFonts w:hint="eastAsia" w:ascii="宋体" w:hAnsi="宋体" w:eastAsia="宋体" w:cs="宋体"/>
                <w:sz w:val="24"/>
                <w:highlight w:val="none"/>
                <w:lang w:val="en-US"/>
              </w:rPr>
              <w:t>③案制作基本完善、条例基本清晰、过程较严谨、基本满足采购人项目需求的得5分</w:t>
            </w:r>
          </w:p>
          <w:p w14:paraId="08FA9C13">
            <w:pPr>
              <w:pStyle w:val="14"/>
              <w:spacing w:line="360" w:lineRule="auto"/>
              <w:ind w:right="95"/>
              <w:rPr>
                <w:rFonts w:hint="eastAsia" w:ascii="宋体" w:hAnsi="宋体" w:eastAsia="宋体" w:cs="宋体"/>
                <w:sz w:val="24"/>
                <w:highlight w:val="none"/>
                <w:lang w:val="en-US"/>
              </w:rPr>
            </w:pPr>
            <w:r>
              <w:rPr>
                <w:rFonts w:hint="eastAsia" w:ascii="宋体" w:hAnsi="宋体" w:eastAsia="宋体" w:cs="宋体"/>
                <w:sz w:val="24"/>
                <w:highlight w:val="none"/>
                <w:lang w:val="en-US"/>
              </w:rPr>
              <w:t>④方案制作不完善、条例不清晰、过程不严谨、只能满足采购人部分项目需求的得2分；</w:t>
            </w:r>
          </w:p>
          <w:p w14:paraId="45E950BE">
            <w:pPr>
              <w:pStyle w:val="14"/>
              <w:spacing w:line="360" w:lineRule="auto"/>
              <w:ind w:right="9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rPr>
              <w:t>⑤不提供方案的不得分。不提供方案不得分。</w:t>
            </w:r>
          </w:p>
        </w:tc>
        <w:tc>
          <w:tcPr>
            <w:tcW w:w="1025" w:type="dxa"/>
            <w:noWrap w:val="0"/>
            <w:vAlign w:val="top"/>
          </w:tcPr>
          <w:p w14:paraId="24A5EC6D">
            <w:pPr>
              <w:pStyle w:val="14"/>
              <w:spacing w:line="360" w:lineRule="auto"/>
              <w:rPr>
                <w:rFonts w:hint="eastAsia" w:ascii="宋体" w:hAnsi="宋体" w:eastAsia="宋体" w:cs="宋体"/>
                <w:b/>
                <w:color w:val="000000"/>
                <w:sz w:val="24"/>
                <w:highlight w:val="none"/>
              </w:rPr>
            </w:pPr>
          </w:p>
          <w:p w14:paraId="7FDDBCE8">
            <w:pPr>
              <w:pStyle w:val="14"/>
              <w:spacing w:line="360" w:lineRule="auto"/>
              <w:rPr>
                <w:rFonts w:hint="eastAsia" w:ascii="宋体" w:hAnsi="宋体" w:eastAsia="宋体" w:cs="宋体"/>
                <w:b/>
                <w:color w:val="000000"/>
                <w:sz w:val="24"/>
                <w:highlight w:val="none"/>
              </w:rPr>
            </w:pPr>
          </w:p>
          <w:p w14:paraId="24336FE7">
            <w:pPr>
              <w:pStyle w:val="14"/>
              <w:spacing w:line="360" w:lineRule="auto"/>
              <w:ind w:right="126"/>
              <w:jc w:val="center"/>
              <w:rPr>
                <w:rFonts w:hint="eastAsia" w:ascii="宋体" w:hAnsi="宋体" w:eastAsia="宋体" w:cs="宋体"/>
                <w:b/>
                <w:color w:val="000000"/>
                <w:sz w:val="24"/>
                <w:highlight w:val="none"/>
                <w:lang w:val="en-US"/>
              </w:rPr>
            </w:pPr>
          </w:p>
          <w:p w14:paraId="6627830A">
            <w:pPr>
              <w:pStyle w:val="14"/>
              <w:spacing w:line="360" w:lineRule="auto"/>
              <w:ind w:right="126"/>
              <w:jc w:val="center"/>
              <w:rPr>
                <w:rFonts w:hint="eastAsia" w:ascii="宋体" w:hAnsi="宋体" w:eastAsia="宋体" w:cs="宋体"/>
                <w:color w:val="000000"/>
                <w:spacing w:val="-4"/>
                <w:sz w:val="24"/>
                <w:highlight w:val="none"/>
                <w:lang w:val="en-US"/>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p>
        </w:tc>
      </w:tr>
      <w:tr w14:paraId="3FAC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5B465EA5">
            <w:pPr>
              <w:pStyle w:val="14"/>
              <w:spacing w:before="211" w:line="360" w:lineRule="auto"/>
              <w:ind w:right="129" w:firstLine="140"/>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w:t>
            </w:r>
          </w:p>
        </w:tc>
        <w:tc>
          <w:tcPr>
            <w:tcW w:w="1852" w:type="dxa"/>
            <w:noWrap w:val="0"/>
            <w:vAlign w:val="center"/>
          </w:tcPr>
          <w:p w14:paraId="40EC55EF">
            <w:pPr>
              <w:pStyle w:val="14"/>
              <w:spacing w:line="360" w:lineRule="auto"/>
              <w:ind w:right="95"/>
              <w:jc w:val="center"/>
              <w:rPr>
                <w:rFonts w:hint="eastAsia" w:ascii="宋体" w:hAnsi="宋体" w:eastAsia="宋体" w:cs="宋体"/>
                <w:sz w:val="24"/>
                <w:highlight w:val="none"/>
                <w:lang w:val="en-US"/>
              </w:rPr>
            </w:pPr>
            <w:r>
              <w:rPr>
                <w:rFonts w:hint="eastAsia" w:ascii="宋体" w:hAnsi="宋体" w:eastAsia="宋体" w:cs="宋体"/>
                <w:sz w:val="24"/>
                <w:highlight w:val="none"/>
              </w:rPr>
              <w:t>质量保证</w:t>
            </w:r>
            <w:r>
              <w:rPr>
                <w:rFonts w:hint="eastAsia" w:ascii="宋体" w:hAnsi="宋体" w:eastAsia="宋体" w:cs="宋体"/>
                <w:sz w:val="24"/>
                <w:highlight w:val="none"/>
                <w:lang w:val="en-US"/>
              </w:rPr>
              <w:t>方案</w:t>
            </w:r>
          </w:p>
        </w:tc>
        <w:tc>
          <w:tcPr>
            <w:tcW w:w="6114" w:type="dxa"/>
            <w:noWrap w:val="0"/>
            <w:vAlign w:val="top"/>
          </w:tcPr>
          <w:p w14:paraId="7D268BA7">
            <w:pPr>
              <w:pStyle w:val="14"/>
              <w:spacing w:line="360" w:lineRule="auto"/>
              <w:ind w:right="95"/>
              <w:rPr>
                <w:rFonts w:hint="eastAsia" w:ascii="宋体" w:hAnsi="宋体" w:eastAsia="宋体" w:cs="宋体"/>
                <w:sz w:val="24"/>
                <w:highlight w:val="none"/>
              </w:rPr>
            </w:pPr>
            <w:r>
              <w:rPr>
                <w:rFonts w:hint="eastAsia" w:ascii="宋体" w:hAnsi="宋体" w:eastAsia="宋体" w:cs="宋体"/>
                <w:sz w:val="24"/>
                <w:highlight w:val="none"/>
              </w:rPr>
              <w:t>投标人</w:t>
            </w:r>
            <w:r>
              <w:rPr>
                <w:rFonts w:hint="eastAsia" w:ascii="宋体" w:hAnsi="宋体" w:eastAsia="宋体" w:cs="宋体"/>
                <w:sz w:val="24"/>
                <w:highlight w:val="none"/>
                <w:lang w:val="en-US"/>
              </w:rPr>
              <w:t>提供质量保证方案（包括但不限于货物全新未使用保证、质量管理体系、质量控制方案、质量问题应急处理方案、质量检测方案、质量验收制度等</w:t>
            </w:r>
            <w:r>
              <w:rPr>
                <w:rFonts w:hint="eastAsia" w:ascii="宋体" w:hAnsi="宋体" w:eastAsia="宋体" w:cs="宋体"/>
                <w:sz w:val="24"/>
                <w:highlight w:val="none"/>
              </w:rPr>
              <w:t>）</w:t>
            </w:r>
          </w:p>
          <w:p w14:paraId="68496566">
            <w:pPr>
              <w:pStyle w:val="14"/>
              <w:spacing w:line="360" w:lineRule="auto"/>
              <w:ind w:right="95"/>
              <w:rPr>
                <w:rFonts w:hint="eastAsia" w:ascii="宋体" w:hAnsi="宋体" w:eastAsia="宋体" w:cs="宋体"/>
                <w:sz w:val="24"/>
                <w:highlight w:val="none"/>
                <w:lang w:val="en-US"/>
              </w:rPr>
            </w:pPr>
            <w:r>
              <w:rPr>
                <w:rFonts w:hint="eastAsia" w:ascii="宋体" w:hAnsi="宋体" w:eastAsia="宋体" w:cs="宋体"/>
                <w:sz w:val="24"/>
                <w:highlight w:val="none"/>
                <w:lang w:val="en-US"/>
              </w:rPr>
              <w:t>方案内容完善详细，且符合本项目实际需求的计</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en-US"/>
              </w:rPr>
              <w:t>分，每缺漏一项扣1分，扣完为止。</w:t>
            </w:r>
          </w:p>
          <w:p w14:paraId="3CE05795">
            <w:pPr>
              <w:pStyle w:val="14"/>
              <w:spacing w:line="360" w:lineRule="auto"/>
              <w:ind w:right="95"/>
              <w:rPr>
                <w:rFonts w:hint="eastAsia" w:ascii="宋体" w:hAnsi="宋体" w:eastAsia="宋体" w:cs="宋体"/>
                <w:sz w:val="24"/>
                <w:highlight w:val="none"/>
                <w:lang w:val="en-US"/>
              </w:rPr>
            </w:pPr>
            <w:r>
              <w:rPr>
                <w:rFonts w:hint="eastAsia" w:ascii="宋体" w:hAnsi="宋体" w:eastAsia="宋体" w:cs="宋体"/>
                <w:sz w:val="24"/>
                <w:highlight w:val="none"/>
              </w:rPr>
              <w:t>不提供</w:t>
            </w:r>
            <w:r>
              <w:rPr>
                <w:rFonts w:hint="eastAsia" w:ascii="宋体" w:hAnsi="宋体" w:eastAsia="宋体" w:cs="宋体"/>
                <w:sz w:val="24"/>
                <w:highlight w:val="none"/>
                <w:lang w:val="en-US"/>
              </w:rPr>
              <w:t>方案</w:t>
            </w:r>
            <w:r>
              <w:rPr>
                <w:rFonts w:hint="eastAsia" w:ascii="宋体" w:hAnsi="宋体" w:eastAsia="宋体" w:cs="宋体"/>
                <w:sz w:val="24"/>
                <w:highlight w:val="none"/>
              </w:rPr>
              <w:t>不得分。</w:t>
            </w:r>
          </w:p>
        </w:tc>
        <w:tc>
          <w:tcPr>
            <w:tcW w:w="1025" w:type="dxa"/>
            <w:noWrap w:val="0"/>
            <w:vAlign w:val="center"/>
          </w:tcPr>
          <w:p w14:paraId="3DE0F6B9">
            <w:pPr>
              <w:pStyle w:val="14"/>
              <w:spacing w:line="360" w:lineRule="auto"/>
              <w:ind w:right="95"/>
              <w:jc w:val="center"/>
              <w:rPr>
                <w:rFonts w:hint="eastAsia" w:ascii="宋体" w:hAnsi="宋体" w:eastAsia="宋体" w:cs="宋体"/>
                <w:color w:val="000000"/>
                <w:sz w:val="24"/>
                <w:highlight w:val="none"/>
                <w:lang w:val="en-US"/>
              </w:rPr>
            </w:pPr>
            <w:r>
              <w:rPr>
                <w:rFonts w:hint="eastAsia" w:ascii="宋体" w:hAnsi="宋体" w:eastAsia="宋体" w:cs="宋体"/>
                <w:b/>
                <w:color w:val="000000"/>
                <w:sz w:val="24"/>
                <w:highlight w:val="none"/>
                <w:lang w:val="en-US" w:eastAsia="zh-CN"/>
              </w:rPr>
              <w:t>6</w:t>
            </w:r>
            <w:r>
              <w:rPr>
                <w:rFonts w:hint="eastAsia" w:ascii="宋体" w:hAnsi="宋体" w:eastAsia="宋体" w:cs="宋体"/>
                <w:b/>
                <w:color w:val="000000"/>
                <w:sz w:val="24"/>
                <w:highlight w:val="none"/>
                <w:lang w:val="en-US"/>
              </w:rPr>
              <w:t>分</w:t>
            </w:r>
          </w:p>
        </w:tc>
      </w:tr>
      <w:tr w14:paraId="7AE9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5BA1A1FB">
            <w:pPr>
              <w:pStyle w:val="14"/>
              <w:spacing w:before="167"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w:t>
            </w:r>
          </w:p>
        </w:tc>
        <w:tc>
          <w:tcPr>
            <w:tcW w:w="1852" w:type="dxa"/>
            <w:noWrap w:val="0"/>
            <w:vAlign w:val="top"/>
          </w:tcPr>
          <w:p w14:paraId="1C122C0A">
            <w:pPr>
              <w:pStyle w:val="14"/>
              <w:spacing w:before="211" w:line="360" w:lineRule="auto"/>
              <w:ind w:right="129" w:firstLine="140"/>
              <w:jc w:val="left"/>
              <w:rPr>
                <w:rFonts w:hint="eastAsia" w:ascii="宋体" w:hAnsi="宋体" w:eastAsia="宋体" w:cs="宋体"/>
                <w:bCs/>
                <w:color w:val="000000"/>
                <w:sz w:val="24"/>
                <w:highlight w:val="none"/>
              </w:rPr>
            </w:pPr>
          </w:p>
          <w:p w14:paraId="1D80F2ED">
            <w:pPr>
              <w:pStyle w:val="14"/>
              <w:spacing w:before="211" w:line="360" w:lineRule="auto"/>
              <w:ind w:right="129" w:firstLine="14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货物配送方案</w:t>
            </w:r>
          </w:p>
        </w:tc>
        <w:tc>
          <w:tcPr>
            <w:tcW w:w="6114" w:type="dxa"/>
            <w:noWrap w:val="0"/>
            <w:vAlign w:val="top"/>
          </w:tcPr>
          <w:p w14:paraId="4D35EAB6">
            <w:pPr>
              <w:pStyle w:val="14"/>
              <w:spacing w:line="360" w:lineRule="auto"/>
              <w:ind w:right="95"/>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rPr>
              <w:t>投标人提供货物配送方案</w:t>
            </w:r>
            <w:r>
              <w:rPr>
                <w:rFonts w:hint="eastAsia" w:ascii="宋体" w:hAnsi="宋体" w:eastAsia="宋体" w:cs="宋体"/>
                <w:color w:val="000000"/>
                <w:sz w:val="24"/>
                <w:highlight w:val="none"/>
              </w:rPr>
              <w:t>（包括</w:t>
            </w:r>
            <w:r>
              <w:rPr>
                <w:rFonts w:hint="eastAsia" w:ascii="宋体" w:hAnsi="宋体" w:eastAsia="宋体" w:cs="宋体"/>
                <w:color w:val="000000"/>
                <w:sz w:val="24"/>
                <w:highlight w:val="none"/>
                <w:lang w:val="en-US"/>
              </w:rPr>
              <w:t>但不限于</w:t>
            </w:r>
            <w:r>
              <w:rPr>
                <w:rFonts w:hint="eastAsia" w:ascii="宋体" w:hAnsi="宋体" w:eastAsia="宋体" w:cs="宋体"/>
                <w:color w:val="000000"/>
                <w:sz w:val="24"/>
                <w:highlight w:val="none"/>
              </w:rPr>
              <w:t>设备配送</w:t>
            </w:r>
            <w:r>
              <w:rPr>
                <w:rFonts w:hint="eastAsia" w:ascii="宋体" w:hAnsi="宋体" w:eastAsia="宋体" w:cs="宋体"/>
                <w:color w:val="000000"/>
                <w:sz w:val="24"/>
                <w:highlight w:val="none"/>
                <w:lang w:val="en-US"/>
              </w:rPr>
              <w:t>方案</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rPr>
              <w:t>设备验收方案、物流运输风险预防、沟通与协调方案</w:t>
            </w:r>
            <w:r>
              <w:rPr>
                <w:rFonts w:hint="eastAsia" w:ascii="宋体" w:hAnsi="宋体" w:eastAsia="宋体" w:cs="宋体"/>
                <w:color w:val="000000"/>
                <w:sz w:val="24"/>
                <w:highlight w:val="none"/>
                <w:lang w:val="en-US" w:eastAsia="zh-CN"/>
              </w:rPr>
              <w:t>、项目进度计划安排等</w:t>
            </w:r>
            <w:r>
              <w:rPr>
                <w:rFonts w:hint="eastAsia" w:ascii="宋体" w:hAnsi="宋体" w:eastAsia="宋体" w:cs="宋体"/>
                <w:color w:val="000000"/>
                <w:sz w:val="24"/>
                <w:highlight w:val="none"/>
              </w:rPr>
              <w:t>）</w:t>
            </w:r>
          </w:p>
          <w:p w14:paraId="6A614147">
            <w:pPr>
              <w:pStyle w:val="14"/>
              <w:spacing w:line="360" w:lineRule="auto"/>
              <w:ind w:right="95"/>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rPr>
              <w:t>方案内容</w:t>
            </w:r>
            <w:r>
              <w:rPr>
                <w:rFonts w:hint="eastAsia" w:ascii="宋体" w:hAnsi="宋体" w:eastAsia="宋体" w:cs="宋体"/>
                <w:color w:val="000000"/>
                <w:sz w:val="24"/>
                <w:highlight w:val="none"/>
                <w:lang w:val="en-US"/>
              </w:rPr>
              <w:t>条理清楚，</w:t>
            </w:r>
            <w:r>
              <w:rPr>
                <w:rFonts w:hint="eastAsia" w:ascii="宋体" w:hAnsi="宋体" w:eastAsia="宋体" w:cs="宋体"/>
                <w:color w:val="000000"/>
                <w:sz w:val="24"/>
                <w:highlight w:val="none"/>
              </w:rPr>
              <w:t>完善</w:t>
            </w:r>
            <w:r>
              <w:rPr>
                <w:rFonts w:hint="eastAsia" w:ascii="宋体" w:hAnsi="宋体" w:eastAsia="宋体" w:cs="宋体"/>
                <w:color w:val="000000"/>
                <w:sz w:val="24"/>
                <w:highlight w:val="none"/>
                <w:lang w:val="en-US"/>
              </w:rPr>
              <w:t>且符合本项目实际需求</w:t>
            </w:r>
            <w:r>
              <w:rPr>
                <w:rFonts w:hint="eastAsia" w:ascii="宋体" w:hAnsi="宋体" w:eastAsia="宋体" w:cs="宋体"/>
                <w:color w:val="000000"/>
                <w:sz w:val="24"/>
                <w:highlight w:val="none"/>
              </w:rPr>
              <w:t>的计</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val="en-US"/>
              </w:rPr>
              <w:t>分，</w:t>
            </w:r>
            <w:r>
              <w:rPr>
                <w:rFonts w:hint="eastAsia" w:ascii="宋体" w:hAnsi="宋体" w:eastAsia="宋体" w:cs="宋体"/>
                <w:color w:val="000000"/>
                <w:sz w:val="24"/>
                <w:highlight w:val="none"/>
              </w:rPr>
              <w:t>每缺漏一项扣</w:t>
            </w:r>
            <w:r>
              <w:rPr>
                <w:rFonts w:hint="eastAsia" w:ascii="宋体" w:hAnsi="宋体" w:eastAsia="宋体" w:cs="宋体"/>
                <w:color w:val="000000"/>
                <w:sz w:val="24"/>
                <w:highlight w:val="none"/>
                <w:lang w:val="en-US"/>
              </w:rPr>
              <w:t>1</w:t>
            </w: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lang w:val="en-US"/>
              </w:rPr>
              <w:t>扣完为止。</w:t>
            </w:r>
          </w:p>
          <w:p w14:paraId="7373CE83">
            <w:pPr>
              <w:pStyle w:val="14"/>
              <w:spacing w:line="360" w:lineRule="auto"/>
              <w:ind w:right="95"/>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不提供方案不得分。</w:t>
            </w:r>
          </w:p>
        </w:tc>
        <w:tc>
          <w:tcPr>
            <w:tcW w:w="1025" w:type="dxa"/>
            <w:noWrap w:val="0"/>
            <w:vAlign w:val="center"/>
          </w:tcPr>
          <w:p w14:paraId="48AB18DF">
            <w:pPr>
              <w:pStyle w:val="14"/>
              <w:spacing w:before="1" w:line="360" w:lineRule="auto"/>
              <w:ind w:right="126"/>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lang w:val="en-US" w:eastAsia="zh-CN"/>
              </w:rPr>
              <w:t>5</w:t>
            </w:r>
            <w:r>
              <w:rPr>
                <w:rFonts w:hint="eastAsia" w:ascii="宋体" w:hAnsi="宋体" w:eastAsia="宋体" w:cs="宋体"/>
                <w:b/>
                <w:color w:val="000000"/>
                <w:sz w:val="24"/>
                <w:highlight w:val="none"/>
              </w:rPr>
              <w:t>分</w:t>
            </w:r>
          </w:p>
        </w:tc>
      </w:tr>
      <w:tr w14:paraId="27CD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4EAD6FD0">
            <w:pPr>
              <w:pStyle w:val="14"/>
              <w:spacing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w:t>
            </w:r>
          </w:p>
        </w:tc>
        <w:tc>
          <w:tcPr>
            <w:tcW w:w="1852" w:type="dxa"/>
            <w:noWrap w:val="0"/>
            <w:vAlign w:val="center"/>
          </w:tcPr>
          <w:p w14:paraId="322694D9">
            <w:pPr>
              <w:pStyle w:val="14"/>
              <w:spacing w:before="167"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设备操作培训方案</w:t>
            </w:r>
          </w:p>
        </w:tc>
        <w:tc>
          <w:tcPr>
            <w:tcW w:w="6114" w:type="dxa"/>
            <w:noWrap w:val="0"/>
            <w:vAlign w:val="top"/>
          </w:tcPr>
          <w:p w14:paraId="1B304BA6">
            <w:pPr>
              <w:pStyle w:val="14"/>
              <w:spacing w:before="2" w:line="360" w:lineRule="auto"/>
              <w:ind w:right="95"/>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投标人提供培训方案（包括培训内容、培训对象、负责培训的人员、培训时间安排、</w:t>
            </w:r>
            <w:r>
              <w:rPr>
                <w:rFonts w:hint="eastAsia" w:ascii="宋体" w:hAnsi="宋体" w:eastAsia="宋体" w:cs="宋体"/>
                <w:color w:val="000000"/>
                <w:sz w:val="24"/>
                <w:highlight w:val="none"/>
                <w:lang w:val="en-US"/>
              </w:rPr>
              <w:t>培训成果验收等</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rPr>
              <w:t>方案条理清楚，且</w:t>
            </w:r>
            <w:r>
              <w:rPr>
                <w:rFonts w:hint="eastAsia" w:ascii="宋体" w:hAnsi="宋体" w:eastAsia="宋体" w:cs="宋体"/>
                <w:color w:val="000000"/>
                <w:sz w:val="24"/>
                <w:highlight w:val="none"/>
              </w:rPr>
              <w:t>完善合理，</w:t>
            </w:r>
            <w:r>
              <w:rPr>
                <w:rFonts w:hint="eastAsia" w:ascii="宋体" w:hAnsi="宋体" w:eastAsia="宋体" w:cs="宋体"/>
                <w:color w:val="000000"/>
                <w:sz w:val="24"/>
                <w:highlight w:val="none"/>
                <w:lang w:val="en-US"/>
              </w:rPr>
              <w:t>符合本项目实际培训需求的</w:t>
            </w:r>
            <w:r>
              <w:rPr>
                <w:rFonts w:hint="eastAsia" w:ascii="宋体" w:hAnsi="宋体" w:eastAsia="宋体" w:cs="宋体"/>
                <w:color w:val="000000"/>
                <w:sz w:val="24"/>
                <w:highlight w:val="none"/>
              </w:rPr>
              <w:t>计</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val="en-US"/>
              </w:rPr>
              <w:t>分，</w:t>
            </w:r>
            <w:r>
              <w:rPr>
                <w:rFonts w:hint="eastAsia" w:ascii="宋体" w:hAnsi="宋体" w:eastAsia="宋体" w:cs="宋体"/>
                <w:color w:val="000000"/>
                <w:sz w:val="24"/>
                <w:highlight w:val="none"/>
              </w:rPr>
              <w:t>每缺漏一项扣</w:t>
            </w:r>
            <w:r>
              <w:rPr>
                <w:rFonts w:hint="eastAsia" w:ascii="宋体" w:hAnsi="宋体" w:eastAsia="宋体" w:cs="宋体"/>
                <w:color w:val="000000"/>
                <w:sz w:val="24"/>
                <w:highlight w:val="none"/>
                <w:lang w:val="en-US"/>
              </w:rPr>
              <w:t>1</w:t>
            </w:r>
            <w:r>
              <w:rPr>
                <w:rFonts w:hint="eastAsia" w:ascii="宋体" w:hAnsi="宋体" w:eastAsia="宋体" w:cs="宋体"/>
                <w:color w:val="000000"/>
                <w:sz w:val="24"/>
                <w:highlight w:val="none"/>
              </w:rPr>
              <w:t xml:space="preserve"> 分，扣完为止。</w:t>
            </w:r>
          </w:p>
          <w:p w14:paraId="478256D0">
            <w:pPr>
              <w:pStyle w:val="14"/>
              <w:spacing w:before="5"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不提供方案不得分。</w:t>
            </w:r>
          </w:p>
        </w:tc>
        <w:tc>
          <w:tcPr>
            <w:tcW w:w="1025" w:type="dxa"/>
            <w:noWrap w:val="0"/>
            <w:vAlign w:val="top"/>
          </w:tcPr>
          <w:p w14:paraId="6F7A9294">
            <w:pPr>
              <w:pStyle w:val="14"/>
              <w:spacing w:line="360" w:lineRule="auto"/>
              <w:rPr>
                <w:rFonts w:hint="eastAsia" w:ascii="宋体" w:hAnsi="宋体" w:eastAsia="宋体" w:cs="宋体"/>
                <w:b/>
                <w:color w:val="000000"/>
                <w:sz w:val="24"/>
                <w:highlight w:val="none"/>
              </w:rPr>
            </w:pPr>
          </w:p>
          <w:p w14:paraId="5D46A9A6">
            <w:pPr>
              <w:pStyle w:val="14"/>
              <w:spacing w:before="167" w:line="360" w:lineRule="auto"/>
              <w:ind w:right="126"/>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lang w:val="en-US" w:eastAsia="zh-CN"/>
              </w:rPr>
              <w:t>5</w:t>
            </w:r>
            <w:r>
              <w:rPr>
                <w:rFonts w:hint="eastAsia" w:ascii="宋体" w:hAnsi="宋体" w:eastAsia="宋体" w:cs="宋体"/>
                <w:b/>
                <w:color w:val="000000"/>
                <w:sz w:val="24"/>
                <w:highlight w:val="none"/>
              </w:rPr>
              <w:t>分</w:t>
            </w:r>
          </w:p>
        </w:tc>
      </w:tr>
      <w:tr w14:paraId="25A6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4D5CF3ED">
            <w:pPr>
              <w:pStyle w:val="14"/>
              <w:spacing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w:t>
            </w:r>
          </w:p>
        </w:tc>
        <w:tc>
          <w:tcPr>
            <w:tcW w:w="1852" w:type="dxa"/>
            <w:noWrap w:val="0"/>
            <w:vAlign w:val="center"/>
          </w:tcPr>
          <w:p w14:paraId="2C3C5AEB">
            <w:pPr>
              <w:pStyle w:val="14"/>
              <w:spacing w:before="167"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应急服务方案</w:t>
            </w:r>
          </w:p>
        </w:tc>
        <w:tc>
          <w:tcPr>
            <w:tcW w:w="6114" w:type="dxa"/>
            <w:noWrap w:val="0"/>
            <w:vAlign w:val="top"/>
          </w:tcPr>
          <w:p w14:paraId="04EDB89C">
            <w:pPr>
              <w:pStyle w:val="14"/>
              <w:spacing w:before="2" w:line="360" w:lineRule="auto"/>
              <w:ind w:right="95"/>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投标人提供应急服务方案（包括应急响应流程、</w:t>
            </w:r>
            <w:r>
              <w:rPr>
                <w:rFonts w:hint="eastAsia" w:ascii="宋体" w:hAnsi="宋体" w:eastAsia="宋体" w:cs="宋体"/>
                <w:color w:val="000000"/>
                <w:sz w:val="24"/>
                <w:highlight w:val="none"/>
                <w:lang w:eastAsia="zh-CN"/>
              </w:rPr>
              <w:t>人员安排、</w:t>
            </w:r>
            <w:r>
              <w:rPr>
                <w:rFonts w:hint="eastAsia" w:ascii="宋体" w:hAnsi="宋体" w:eastAsia="宋体" w:cs="宋体"/>
                <w:color w:val="000000"/>
                <w:sz w:val="24"/>
                <w:highlight w:val="none"/>
              </w:rPr>
              <w:t>应急维修措施、备用设备供应</w:t>
            </w:r>
            <w:r>
              <w:rPr>
                <w:rFonts w:hint="eastAsia" w:ascii="宋体" w:hAnsi="宋体" w:eastAsia="宋体" w:cs="宋体"/>
                <w:color w:val="000000"/>
                <w:sz w:val="24"/>
                <w:highlight w:val="none"/>
                <w:lang w:val="en-US"/>
              </w:rPr>
              <w:t>等</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rPr>
              <w:t>方案条理清楚，且</w:t>
            </w:r>
            <w:r>
              <w:rPr>
                <w:rFonts w:hint="eastAsia" w:ascii="宋体" w:hAnsi="宋体" w:eastAsia="宋体" w:cs="宋体"/>
                <w:color w:val="000000"/>
                <w:sz w:val="24"/>
                <w:highlight w:val="none"/>
              </w:rPr>
              <w:t>完善合理，</w:t>
            </w:r>
            <w:r>
              <w:rPr>
                <w:rFonts w:hint="eastAsia" w:ascii="宋体" w:hAnsi="宋体" w:eastAsia="宋体" w:cs="宋体"/>
                <w:color w:val="000000"/>
                <w:sz w:val="24"/>
                <w:highlight w:val="none"/>
                <w:lang w:val="en-US"/>
              </w:rPr>
              <w:t>符合本项目实际培训需求的</w:t>
            </w:r>
            <w:r>
              <w:rPr>
                <w:rFonts w:hint="eastAsia" w:ascii="宋体" w:hAnsi="宋体" w:eastAsia="宋体" w:cs="宋体"/>
                <w:color w:val="000000"/>
                <w:sz w:val="24"/>
                <w:highlight w:val="none"/>
              </w:rPr>
              <w:t>计</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val="en-US"/>
              </w:rPr>
              <w:t>分，</w:t>
            </w:r>
            <w:r>
              <w:rPr>
                <w:rFonts w:hint="eastAsia" w:ascii="宋体" w:hAnsi="宋体" w:eastAsia="宋体" w:cs="宋体"/>
                <w:color w:val="000000"/>
                <w:sz w:val="24"/>
                <w:highlight w:val="none"/>
              </w:rPr>
              <w:t>每缺漏一项扣</w:t>
            </w:r>
            <w:r>
              <w:rPr>
                <w:rFonts w:hint="eastAsia" w:ascii="宋体" w:hAnsi="宋体" w:eastAsia="宋体" w:cs="宋体"/>
                <w:color w:val="000000"/>
                <w:sz w:val="24"/>
                <w:highlight w:val="none"/>
                <w:lang w:val="en-US"/>
              </w:rPr>
              <w:t>1</w:t>
            </w:r>
            <w:r>
              <w:rPr>
                <w:rFonts w:hint="eastAsia" w:ascii="宋体" w:hAnsi="宋体" w:eastAsia="宋体" w:cs="宋体"/>
                <w:color w:val="000000"/>
                <w:sz w:val="24"/>
                <w:highlight w:val="none"/>
              </w:rPr>
              <w:t xml:space="preserve"> 分，扣完为止。</w:t>
            </w:r>
          </w:p>
          <w:p w14:paraId="4AF33525">
            <w:pPr>
              <w:pStyle w:val="14"/>
              <w:spacing w:before="5"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不提供方案不得分。</w:t>
            </w:r>
          </w:p>
        </w:tc>
        <w:tc>
          <w:tcPr>
            <w:tcW w:w="1025" w:type="dxa"/>
            <w:noWrap w:val="0"/>
            <w:vAlign w:val="top"/>
          </w:tcPr>
          <w:p w14:paraId="71CF1D4B">
            <w:pPr>
              <w:pStyle w:val="14"/>
              <w:spacing w:before="167" w:line="360" w:lineRule="auto"/>
              <w:ind w:right="126"/>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4分</w:t>
            </w:r>
          </w:p>
        </w:tc>
      </w:tr>
      <w:tr w14:paraId="25D8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741C2A2D">
            <w:pPr>
              <w:pStyle w:val="14"/>
              <w:spacing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w:t>
            </w:r>
          </w:p>
        </w:tc>
        <w:tc>
          <w:tcPr>
            <w:tcW w:w="1852" w:type="dxa"/>
            <w:noWrap w:val="0"/>
            <w:vAlign w:val="center"/>
          </w:tcPr>
          <w:p w14:paraId="186F5900">
            <w:pPr>
              <w:pStyle w:val="14"/>
              <w:spacing w:line="360" w:lineRule="auto"/>
              <w:ind w:right="111"/>
              <w:jc w:val="center"/>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业绩</w:t>
            </w:r>
          </w:p>
        </w:tc>
        <w:tc>
          <w:tcPr>
            <w:tcW w:w="6114" w:type="dxa"/>
            <w:noWrap w:val="0"/>
            <w:vAlign w:val="center"/>
          </w:tcPr>
          <w:p w14:paraId="29DF02A3">
            <w:pPr>
              <w:adjustRightInd w:val="0"/>
              <w:snapToGri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szCs w:val="24"/>
              </w:rPr>
              <w:t>近三年（202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.1至今）投标人承担类似业绩。提供1个可得</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分,最高得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分。（提供项目合同复印件</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中标通知书为准</w:t>
            </w:r>
          </w:p>
        </w:tc>
        <w:tc>
          <w:tcPr>
            <w:tcW w:w="1025" w:type="dxa"/>
            <w:noWrap w:val="0"/>
            <w:vAlign w:val="center"/>
          </w:tcPr>
          <w:p w14:paraId="29084B8D">
            <w:pPr>
              <w:pStyle w:val="14"/>
              <w:spacing w:line="360" w:lineRule="auto"/>
              <w:ind w:right="126"/>
              <w:jc w:val="both"/>
              <w:rPr>
                <w:rFonts w:hint="eastAsia" w:ascii="宋体" w:hAnsi="宋体" w:eastAsia="宋体" w:cs="宋体"/>
                <w:color w:val="000000"/>
                <w:sz w:val="24"/>
                <w:highlight w:val="none"/>
                <w:lang w:val="en-US" w:eastAsia="zh-CN"/>
              </w:rPr>
            </w:pPr>
            <w:r>
              <w:rPr>
                <w:rFonts w:hint="eastAsia" w:ascii="宋体" w:hAnsi="宋体" w:eastAsia="宋体" w:cs="宋体"/>
                <w:b/>
                <w:bCs/>
                <w:color w:val="000000"/>
                <w:sz w:val="24"/>
                <w:highlight w:val="none"/>
                <w:lang w:val="en-US" w:eastAsia="zh-CN"/>
              </w:rPr>
              <w:t>5分</w:t>
            </w:r>
          </w:p>
        </w:tc>
      </w:tr>
      <w:tr w14:paraId="7A7D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537680F3">
            <w:pPr>
              <w:pStyle w:val="14"/>
              <w:spacing w:line="360" w:lineRule="auto"/>
              <w:ind w:right="111"/>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9</w:t>
            </w:r>
          </w:p>
        </w:tc>
        <w:tc>
          <w:tcPr>
            <w:tcW w:w="1852" w:type="dxa"/>
            <w:noWrap w:val="0"/>
            <w:vAlign w:val="center"/>
          </w:tcPr>
          <w:p w14:paraId="1D782443">
            <w:pPr>
              <w:pStyle w:val="14"/>
              <w:spacing w:line="360" w:lineRule="auto"/>
              <w:ind w:right="111"/>
              <w:jc w:val="center"/>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响应时间</w:t>
            </w:r>
          </w:p>
        </w:tc>
        <w:tc>
          <w:tcPr>
            <w:tcW w:w="6114" w:type="dxa"/>
            <w:noWrap w:val="0"/>
            <w:vAlign w:val="center"/>
          </w:tcPr>
          <w:p w14:paraId="089C7A89">
            <w:pPr>
              <w:adjustRightInd w:val="0"/>
              <w:snapToGrid w:val="0"/>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投标供应商承诺产品出现故障或破损时，接到采购人通知后：</w:t>
            </w:r>
          </w:p>
          <w:p w14:paraId="1EBB7FEF">
            <w:pPr>
              <w:adjustRightInd w:val="0"/>
              <w:snapToGrid w:val="0"/>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在1小时以内到达现场维修或更换的得5分;</w:t>
            </w:r>
          </w:p>
          <w:p w14:paraId="6159DECD">
            <w:pPr>
              <w:adjustRightInd w:val="0"/>
              <w:snapToGrid w:val="0"/>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在2小时以内到达现场维修或更换的得3分；</w:t>
            </w:r>
          </w:p>
          <w:p w14:paraId="266A3E07">
            <w:pPr>
              <w:adjustRightInd w:val="0"/>
              <w:snapToGrid w:val="0"/>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在3小时以内到达现场维修或更换的得1分。</w:t>
            </w:r>
          </w:p>
          <w:p w14:paraId="34C712F7">
            <w:pPr>
              <w:adjustRightInd w:val="0"/>
              <w:snapToGrid w:val="0"/>
              <w:spacing w:line="400" w:lineRule="exact"/>
              <w:jc w:val="left"/>
              <w:rPr>
                <w:rFonts w:hint="eastAsia" w:ascii="宋体" w:hAnsi="宋体" w:eastAsia="宋体" w:cs="宋体"/>
                <w:color w:val="000000"/>
                <w:sz w:val="24"/>
                <w:szCs w:val="24"/>
              </w:rPr>
            </w:pPr>
            <w:r>
              <w:rPr>
                <w:rFonts w:hint="eastAsia" w:ascii="宋体" w:hAnsi="宋体" w:eastAsia="宋体" w:cs="宋体"/>
                <w:sz w:val="24"/>
                <w:highlight w:val="none"/>
                <w:lang w:val="en-US" w:eastAsia="zh-CN"/>
              </w:rPr>
              <w:t>本项最高5分。(投标供应商自行承诺,不承诺不得分)。</w:t>
            </w:r>
          </w:p>
        </w:tc>
        <w:tc>
          <w:tcPr>
            <w:tcW w:w="1025" w:type="dxa"/>
            <w:noWrap w:val="0"/>
            <w:vAlign w:val="center"/>
          </w:tcPr>
          <w:p w14:paraId="68BFF73F">
            <w:pPr>
              <w:pStyle w:val="14"/>
              <w:spacing w:line="360" w:lineRule="auto"/>
              <w:ind w:right="126"/>
              <w:jc w:val="both"/>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5分</w:t>
            </w:r>
          </w:p>
        </w:tc>
      </w:tr>
      <w:tr w14:paraId="72A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0" w:type="dxa"/>
            <w:gridSpan w:val="4"/>
            <w:noWrap w:val="0"/>
            <w:vAlign w:val="center"/>
          </w:tcPr>
          <w:p w14:paraId="20098C6D">
            <w:pPr>
              <w:pStyle w:val="14"/>
              <w:spacing w:line="360" w:lineRule="auto"/>
              <w:ind w:right="126"/>
              <w:jc w:val="left"/>
              <w:rPr>
                <w:rFonts w:hint="eastAsia" w:ascii="宋体" w:hAnsi="宋体" w:eastAsia="宋体" w:cs="宋体"/>
                <w:b/>
                <w:bCs/>
                <w:color w:val="000000"/>
                <w:sz w:val="24"/>
                <w:highlight w:val="none"/>
                <w:lang w:val="en-US" w:eastAsia="zh-CN"/>
              </w:rPr>
            </w:pPr>
            <w:r>
              <w:rPr>
                <w:rFonts w:hint="eastAsia" w:ascii="宋体" w:hAnsi="宋体" w:eastAsia="宋体" w:cs="宋体"/>
                <w:b/>
                <w:color w:val="000000"/>
                <w:sz w:val="24"/>
                <w:highlight w:val="none"/>
                <w:lang w:val="en-US" w:eastAsia="zh-CN"/>
              </w:rPr>
              <w:t>（四）政策加分（在总得分基础上加分）；满分5分</w:t>
            </w:r>
          </w:p>
        </w:tc>
      </w:tr>
      <w:tr w14:paraId="7B8D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65E100DD">
            <w:pPr>
              <w:pStyle w:val="14"/>
              <w:spacing w:line="360" w:lineRule="auto"/>
              <w:ind w:right="111" w:rightChars="0"/>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10</w:t>
            </w:r>
          </w:p>
        </w:tc>
        <w:tc>
          <w:tcPr>
            <w:tcW w:w="1852" w:type="dxa"/>
            <w:noWrap w:val="0"/>
            <w:vAlign w:val="center"/>
          </w:tcPr>
          <w:p w14:paraId="3943C762">
            <w:pPr>
              <w:pStyle w:val="14"/>
              <w:spacing w:line="360" w:lineRule="auto"/>
              <w:ind w:right="111" w:rightChars="0"/>
              <w:jc w:val="center"/>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val="en-US" w:eastAsia="zh-CN"/>
              </w:rPr>
              <w:t>少数民族地区加分</w:t>
            </w:r>
          </w:p>
        </w:tc>
        <w:tc>
          <w:tcPr>
            <w:tcW w:w="6114" w:type="dxa"/>
            <w:noWrap w:val="0"/>
            <w:vAlign w:val="center"/>
          </w:tcPr>
          <w:p w14:paraId="6E96F7BF">
            <w:pPr>
              <w:pStyle w:val="14"/>
              <w:spacing w:before="4"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对原产地在少数民族自治区和享受少数民族自治待遇的省份的投标主产品（不含附带产品）享受少数民族地区加分，得3分。</w:t>
            </w:r>
          </w:p>
          <w:p w14:paraId="5E9D7ADF">
            <w:pPr>
              <w:pStyle w:val="14"/>
              <w:spacing w:before="4" w:line="360" w:lineRule="auto"/>
              <w:jc w:val="left"/>
              <w:rPr>
                <w:rFonts w:hint="eastAsia" w:ascii="宋体" w:hAnsi="宋体" w:eastAsia="宋体" w:cs="宋体"/>
                <w:sz w:val="24"/>
                <w:highlight w:val="none"/>
                <w:lang w:val="en-US" w:eastAsia="zh-CN"/>
              </w:rPr>
            </w:pPr>
            <w:r>
              <w:rPr>
                <w:rFonts w:hint="eastAsia" w:ascii="宋体" w:hAnsi="宋体" w:eastAsia="宋体" w:cs="宋体"/>
                <w:color w:val="000000"/>
                <w:sz w:val="24"/>
                <w:highlight w:val="none"/>
              </w:rPr>
              <w:t>少数民族加分：根据贵州省财政厅黔财采【2017】6号文的相关要求，享受少数民族自治待遇的省份为：云南、贵州、青海。</w:t>
            </w:r>
          </w:p>
        </w:tc>
        <w:tc>
          <w:tcPr>
            <w:tcW w:w="1025" w:type="dxa"/>
            <w:noWrap w:val="0"/>
            <w:vAlign w:val="center"/>
          </w:tcPr>
          <w:p w14:paraId="410D23B4">
            <w:pPr>
              <w:pStyle w:val="14"/>
              <w:spacing w:line="360" w:lineRule="auto"/>
              <w:ind w:right="126" w:rightChars="0"/>
              <w:jc w:val="center"/>
              <w:rPr>
                <w:rFonts w:hint="eastAsia" w:ascii="宋体" w:hAnsi="宋体" w:eastAsia="宋体" w:cs="宋体"/>
                <w:b/>
                <w:bCs/>
                <w:color w:val="000000"/>
                <w:sz w:val="24"/>
                <w:highlight w:val="none"/>
                <w:lang w:val="en-US" w:eastAsia="zh-CN"/>
              </w:rPr>
            </w:pPr>
            <w:r>
              <w:rPr>
                <w:rFonts w:hint="eastAsia" w:ascii="宋体" w:hAnsi="宋体" w:eastAsia="宋体" w:cs="宋体"/>
                <w:b/>
                <w:color w:val="000000"/>
                <w:sz w:val="24"/>
                <w:highlight w:val="none"/>
                <w:lang w:val="en-US" w:eastAsia="zh-CN"/>
              </w:rPr>
              <w:t>3分</w:t>
            </w:r>
          </w:p>
        </w:tc>
      </w:tr>
      <w:tr w14:paraId="40C9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24F0C7F0">
            <w:pPr>
              <w:pStyle w:val="14"/>
              <w:spacing w:line="360" w:lineRule="auto"/>
              <w:ind w:right="111" w:rightChars="0"/>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11</w:t>
            </w:r>
          </w:p>
        </w:tc>
        <w:tc>
          <w:tcPr>
            <w:tcW w:w="1852" w:type="dxa"/>
            <w:noWrap w:val="0"/>
            <w:vAlign w:val="center"/>
          </w:tcPr>
          <w:p w14:paraId="3ACA633F">
            <w:pPr>
              <w:pStyle w:val="14"/>
              <w:spacing w:line="360" w:lineRule="auto"/>
              <w:ind w:right="111" w:rightChars="0"/>
              <w:jc w:val="center"/>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val="en-US" w:eastAsia="zh-CN"/>
              </w:rPr>
              <w:t>节能环保加分</w:t>
            </w:r>
          </w:p>
        </w:tc>
        <w:tc>
          <w:tcPr>
            <w:tcW w:w="6114" w:type="dxa"/>
            <w:noWrap w:val="0"/>
            <w:vAlign w:val="center"/>
          </w:tcPr>
          <w:p w14:paraId="3B6987F5">
            <w:pPr>
              <w:pStyle w:val="14"/>
              <w:spacing w:before="4" w:line="360" w:lineRule="auto"/>
              <w:jc w:val="left"/>
              <w:rPr>
                <w:rFonts w:hint="eastAsia" w:ascii="宋体" w:hAnsi="宋体" w:eastAsia="宋体" w:cs="宋体"/>
                <w:sz w:val="24"/>
                <w:highlight w:val="none"/>
                <w:lang w:val="en-US" w:eastAsia="zh-CN"/>
              </w:rPr>
            </w:pPr>
            <w:r>
              <w:rPr>
                <w:rFonts w:hint="eastAsia" w:ascii="宋体" w:hAnsi="宋体" w:eastAsia="宋体" w:cs="宋体"/>
                <w:color w:val="000000"/>
                <w:sz w:val="24"/>
                <w:highlight w:val="none"/>
              </w:rPr>
              <w:t>对投标产品属于“节能产品清单”或“环保产品清单”有效期内中的产品（强制采购产品除外），在评审总得分的基础上每一项加 0.3 分；如投标产品同时属于“节能产品清单”和“环保产品清单”两个清单中产品的，每一项加 0.5 分，最高不得超过2分。</w:t>
            </w:r>
          </w:p>
        </w:tc>
        <w:tc>
          <w:tcPr>
            <w:tcW w:w="1025" w:type="dxa"/>
            <w:noWrap w:val="0"/>
            <w:vAlign w:val="center"/>
          </w:tcPr>
          <w:p w14:paraId="39CDF3D6">
            <w:pPr>
              <w:pStyle w:val="14"/>
              <w:spacing w:line="360" w:lineRule="auto"/>
              <w:ind w:right="126" w:rightChars="0"/>
              <w:jc w:val="center"/>
              <w:rPr>
                <w:rFonts w:hint="eastAsia" w:ascii="宋体" w:hAnsi="宋体" w:eastAsia="宋体" w:cs="宋体"/>
                <w:b/>
                <w:bCs/>
                <w:color w:val="000000"/>
                <w:sz w:val="24"/>
                <w:highlight w:val="none"/>
                <w:lang w:val="en-US" w:eastAsia="zh-CN"/>
              </w:rPr>
            </w:pPr>
            <w:r>
              <w:rPr>
                <w:rFonts w:hint="eastAsia" w:ascii="宋体" w:hAnsi="宋体" w:eastAsia="宋体" w:cs="宋体"/>
                <w:b/>
                <w:color w:val="000000"/>
                <w:sz w:val="24"/>
                <w:highlight w:val="none"/>
                <w:lang w:val="en-US" w:eastAsia="zh-CN"/>
              </w:rPr>
              <w:t>2分</w:t>
            </w:r>
          </w:p>
        </w:tc>
      </w:tr>
    </w:tbl>
    <w:p w14:paraId="1E710427">
      <w:pPr>
        <w:pStyle w:val="13"/>
        <w:rPr>
          <w:rFonts w:hint="eastAsia"/>
          <w:lang w:eastAsia="zh-CN"/>
        </w:rPr>
      </w:pPr>
    </w:p>
    <w:sectPr>
      <w:footerReference r:id="rId3"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8"/>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7CB93"/>
    <w:multiLevelType w:val="singleLevel"/>
    <w:tmpl w:val="F417CB93"/>
    <w:lvl w:ilvl="0" w:tentative="0">
      <w:start w:val="1"/>
      <w:numFmt w:val="decimal"/>
      <w:suff w:val="nothing"/>
      <w:lvlText w:val="%1、"/>
      <w:lvlJc w:val="left"/>
    </w:lvl>
  </w:abstractNum>
  <w:abstractNum w:abstractNumId="1">
    <w:nsid w:val="00000005"/>
    <w:multiLevelType w:val="singleLevel"/>
    <w:tmpl w:val="00000005"/>
    <w:lvl w:ilvl="0" w:tentative="0">
      <w:start w:val="2"/>
      <w:numFmt w:val="decimal"/>
      <w:lvlText w:val="%1."/>
      <w:lvlJc w:val="left"/>
      <w:pPr>
        <w:tabs>
          <w:tab w:val="left" w:pos="312"/>
        </w:tabs>
      </w:pPr>
    </w:lvl>
  </w:abstractNum>
  <w:abstractNum w:abstractNumId="2">
    <w:nsid w:val="1424D4DE"/>
    <w:multiLevelType w:val="singleLevel"/>
    <w:tmpl w:val="1424D4DE"/>
    <w:lvl w:ilvl="0" w:tentative="0">
      <w:start w:val="2"/>
      <w:numFmt w:val="chineseCounting"/>
      <w:suff w:val="nothing"/>
      <w:lvlText w:val="%1、"/>
      <w:lvlJc w:val="left"/>
      <w:rPr>
        <w:rFonts w:hint="eastAsia"/>
      </w:rPr>
    </w:lvl>
  </w:abstractNum>
  <w:abstractNum w:abstractNumId="3">
    <w:nsid w:val="3681FF9B"/>
    <w:multiLevelType w:val="singleLevel"/>
    <w:tmpl w:val="3681FF9B"/>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74D481C"/>
    <w:rsid w:val="0D715EE6"/>
    <w:rsid w:val="12F8350B"/>
    <w:rsid w:val="15456CD8"/>
    <w:rsid w:val="18F91799"/>
    <w:rsid w:val="241A61E3"/>
    <w:rsid w:val="2D2F2542"/>
    <w:rsid w:val="33A0607D"/>
    <w:rsid w:val="37792DCD"/>
    <w:rsid w:val="37FF5834"/>
    <w:rsid w:val="40092FA2"/>
    <w:rsid w:val="43871532"/>
    <w:rsid w:val="4AED2163"/>
    <w:rsid w:val="4CA63DFC"/>
    <w:rsid w:val="565B3649"/>
    <w:rsid w:val="569A6A77"/>
    <w:rsid w:val="57E76709"/>
    <w:rsid w:val="58D27BFC"/>
    <w:rsid w:val="5A9345FB"/>
    <w:rsid w:val="5BA652E6"/>
    <w:rsid w:val="6076356A"/>
    <w:rsid w:val="663369DB"/>
    <w:rsid w:val="6C5C32DF"/>
    <w:rsid w:val="71482881"/>
    <w:rsid w:val="71654217"/>
    <w:rsid w:val="75241B5F"/>
    <w:rsid w:val="77312AC7"/>
    <w:rsid w:val="77CD6F00"/>
    <w:rsid w:val="7C54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0"/>
    <w:pPr>
      <w:keepNext/>
      <w:jc w:val="center"/>
      <w:outlineLvl w:val="1"/>
    </w:pPr>
    <w:rPr>
      <w:rFonts w:ascii="Calibri" w:hAnsi="Calibri" w:eastAsia="宋体" w:cs="Times New Roman"/>
      <w:sz w:val="32"/>
    </w:rPr>
  </w:style>
  <w:style w:type="paragraph" w:styleId="4">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5">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rPr>
      <w:sz w:val="20"/>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footer"/>
    <w:basedOn w:val="1"/>
    <w:qFormat/>
    <w:uiPriority w:val="99"/>
    <w:pPr>
      <w:tabs>
        <w:tab w:val="center" w:pos="4153"/>
        <w:tab w:val="right" w:pos="8306"/>
      </w:tabs>
      <w:snapToGrid w:val="0"/>
      <w:jc w:val="left"/>
    </w:pPr>
    <w:rPr>
      <w:sz w:val="18"/>
    </w:rPr>
  </w:style>
  <w:style w:type="paragraph" w:styleId="9">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styleId="10">
    <w:name w:val="Normal (Web)"/>
    <w:basedOn w:val="1"/>
    <w:uiPriority w:val="0"/>
    <w:pPr>
      <w:widowControl/>
      <w:jc w:val="left"/>
    </w:pPr>
    <w:rPr>
      <w:rFonts w:ascii="宋体" w:hAnsi="宋体" w:eastAsia="宋体" w:cs="宋体"/>
      <w:kern w:val="0"/>
      <w:sz w:val="18"/>
      <w:szCs w:val="18"/>
    </w:rPr>
  </w:style>
  <w:style w:type="paragraph" w:customStyle="1" w:styleId="13">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4">
    <w:name w:val="Table Paragraph"/>
    <w:basedOn w:val="1"/>
    <w:autoRedefine/>
    <w:qFormat/>
    <w:uiPriority w:val="1"/>
    <w:rPr>
      <w:rFonts w:ascii="宋体" w:hAnsi="宋体" w:eastAsia="宋体" w:cs="宋体"/>
      <w:lang w:val="zh-CN" w:eastAsia="zh-CN" w:bidi="zh-CN"/>
    </w:rPr>
  </w:style>
  <w:style w:type="paragraph" w:styleId="15">
    <w:name w:val="List Paragraph"/>
    <w:basedOn w:val="1"/>
    <w:autoRedefine/>
    <w:qFormat/>
    <w:uiPriority w:val="1"/>
    <w:pPr>
      <w:ind w:left="117" w:hanging="242"/>
    </w:pPr>
    <w:rPr>
      <w:rFonts w:ascii="宋体" w:hAnsi="宋体" w:eastAsia="宋体" w:cs="宋体"/>
      <w:lang w:val="zh-CN" w:eastAsia="zh-CN" w:bidi="zh-CN"/>
    </w:rPr>
  </w:style>
  <w:style w:type="paragraph" w:customStyle="1" w:styleId="16">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7">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5314</Words>
  <Characters>5407</Characters>
  <Lines>0</Lines>
  <Paragraphs>0</Paragraphs>
  <TotalTime>0</TotalTime>
  <ScaleCrop>false</ScaleCrop>
  <LinksUpToDate>false</LinksUpToDate>
  <CharactersWithSpaces>5428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NTKO</cp:lastModifiedBy>
  <dcterms:modified xsi:type="dcterms:W3CDTF">2025-07-01T08:00:58Z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2F85F5EABBFC4E5DB693C5577A92DFBB_13</vt:lpwstr>
  </property>
  <property fmtid="{D5CDD505-2E9C-101B-9397-08002B2CF9AE}" pid="4" name="KSOTemplateDocerSaveRecord">
    <vt:lpwstr>eyJoZGlkIjoiMjQ0NjQxZTFhN2NjMGVmZjczYTYwNzNjY2NiOTdkNTAiLCJ1c2VySWQiOiIyNTQzODUxMzYifQ==</vt:lpwstr>
  </property>
</Properties>
</file>