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561C0">
      <w:pPr>
        <w:pStyle w:val="3"/>
        <w:numPr>
          <w:ilvl w:val="0"/>
          <w:numId w:val="0"/>
        </w:numPr>
        <w:bidi w:val="0"/>
        <w:ind w:left="0" w:leftChars="0" w:firstLine="0" w:firstLineChars="0"/>
        <w:jc w:val="center"/>
        <w:rPr>
          <w:rFonts w:hint="eastAsia" w:ascii="黑体" w:hAnsi="黑体" w:eastAsia="黑体" w:cs="黑体"/>
          <w:b w:val="0"/>
          <w:bCs w:val="0"/>
          <w:sz w:val="48"/>
          <w:szCs w:val="48"/>
          <w:highlight w:val="none"/>
        </w:rPr>
      </w:pPr>
    </w:p>
    <w:p w14:paraId="64A41C7E">
      <w:pPr>
        <w:pStyle w:val="3"/>
        <w:numPr>
          <w:ilvl w:val="0"/>
          <w:numId w:val="0"/>
        </w:numPr>
        <w:bidi w:val="0"/>
        <w:ind w:left="0" w:leftChars="0" w:firstLine="0" w:firstLineChars="0"/>
        <w:jc w:val="center"/>
        <w:rPr>
          <w:rFonts w:hint="eastAsia" w:ascii="黑体" w:hAnsi="黑体" w:eastAsia="黑体" w:cs="黑体"/>
          <w:b w:val="0"/>
          <w:bCs w:val="0"/>
          <w:sz w:val="48"/>
          <w:szCs w:val="48"/>
          <w:highlight w:val="none"/>
        </w:rPr>
      </w:pPr>
    </w:p>
    <w:p w14:paraId="24466ADD">
      <w:pPr>
        <w:pStyle w:val="3"/>
        <w:numPr>
          <w:ilvl w:val="0"/>
          <w:numId w:val="0"/>
        </w:numPr>
        <w:bidi w:val="0"/>
        <w:ind w:left="0" w:leftChars="0" w:firstLine="0" w:firstLineChars="0"/>
        <w:jc w:val="center"/>
        <w:rPr>
          <w:rFonts w:hint="eastAsia" w:ascii="黑体" w:hAnsi="黑体" w:eastAsia="黑体" w:cs="黑体"/>
          <w:b w:val="0"/>
          <w:bCs w:val="0"/>
          <w:sz w:val="48"/>
          <w:szCs w:val="48"/>
          <w:highlight w:val="none"/>
        </w:rPr>
      </w:pPr>
    </w:p>
    <w:p w14:paraId="34BB5AC9">
      <w:pPr>
        <w:pStyle w:val="3"/>
        <w:numPr>
          <w:ilvl w:val="0"/>
          <w:numId w:val="0"/>
        </w:numPr>
        <w:bidi w:val="0"/>
        <w:ind w:left="0" w:leftChars="0" w:firstLine="0" w:firstLineChars="0"/>
        <w:jc w:val="center"/>
        <w:rPr>
          <w:rFonts w:hint="eastAsia" w:ascii="黑体" w:hAnsi="黑体" w:eastAsia="黑体" w:cs="黑体"/>
          <w:b w:val="0"/>
          <w:bCs w:val="0"/>
          <w:sz w:val="48"/>
          <w:szCs w:val="48"/>
          <w:highlight w:val="none"/>
        </w:rPr>
      </w:pPr>
      <w:r>
        <w:rPr>
          <w:rFonts w:hint="eastAsia" w:ascii="黑体" w:hAnsi="黑体" w:eastAsia="黑体" w:cs="黑体"/>
          <w:b w:val="0"/>
          <w:bCs w:val="0"/>
          <w:sz w:val="48"/>
          <w:szCs w:val="48"/>
          <w:highlight w:val="none"/>
        </w:rPr>
        <w:t>政府采购项目采购需求及实施计划</w:t>
      </w:r>
    </w:p>
    <w:p w14:paraId="51591A69">
      <w:pPr>
        <w:widowControl w:val="0"/>
        <w:autoSpaceDE w:val="0"/>
        <w:autoSpaceDN w:val="0"/>
        <w:spacing w:before="0" w:after="0" w:line="319" w:lineRule="exact"/>
        <w:ind w:left="0" w:right="0" w:firstLine="0"/>
        <w:jc w:val="center"/>
        <w:rPr>
          <w:rFonts w:hint="eastAsia" w:ascii="仿宋" w:hAnsi="仿宋" w:eastAsia="仿宋" w:cs="仿宋"/>
          <w:color w:val="000000"/>
          <w:spacing w:val="-9"/>
          <w:sz w:val="28"/>
          <w:szCs w:val="28"/>
          <w:highlight w:val="none"/>
          <w:lang w:val="en-US" w:eastAsia="zh-CN"/>
        </w:rPr>
      </w:pPr>
    </w:p>
    <w:p w14:paraId="504AB4C8">
      <w:pPr>
        <w:widowControl w:val="0"/>
        <w:autoSpaceDE w:val="0"/>
        <w:autoSpaceDN w:val="0"/>
        <w:spacing w:before="0" w:after="0" w:line="319" w:lineRule="exact"/>
        <w:ind w:left="0" w:right="0" w:firstLine="0"/>
        <w:jc w:val="center"/>
        <w:rPr>
          <w:rFonts w:hint="eastAsia" w:ascii="仿宋" w:hAnsi="仿宋" w:eastAsia="仿宋" w:cs="仿宋"/>
          <w:color w:val="000000"/>
          <w:spacing w:val="-9"/>
          <w:sz w:val="28"/>
          <w:szCs w:val="28"/>
          <w:highlight w:val="none"/>
          <w:lang w:val="en-US" w:eastAsia="zh-CN"/>
        </w:rPr>
      </w:pPr>
    </w:p>
    <w:p w14:paraId="010E8CB3">
      <w:pPr>
        <w:widowControl w:val="0"/>
        <w:autoSpaceDE w:val="0"/>
        <w:autoSpaceDN w:val="0"/>
        <w:spacing w:before="0" w:after="0" w:line="319" w:lineRule="exact"/>
        <w:ind w:left="0" w:right="0" w:firstLine="0"/>
        <w:jc w:val="center"/>
        <w:rPr>
          <w:rFonts w:hint="eastAsia" w:ascii="仿宋" w:hAnsi="仿宋" w:eastAsia="仿宋" w:cs="仿宋"/>
          <w:color w:val="000000"/>
          <w:spacing w:val="-9"/>
          <w:sz w:val="28"/>
          <w:szCs w:val="28"/>
          <w:highlight w:val="none"/>
          <w:lang w:val="en-US" w:eastAsia="zh-CN"/>
        </w:rPr>
      </w:pPr>
    </w:p>
    <w:p w14:paraId="50E94D9D">
      <w:pPr>
        <w:keepNext w:val="0"/>
        <w:keepLines w:val="0"/>
        <w:pageBreakBefore w:val="0"/>
        <w:widowControl w:val="0"/>
        <w:kinsoku/>
        <w:wordWrap/>
        <w:overflowPunct/>
        <w:topLinePunct w:val="0"/>
        <w:autoSpaceDE w:val="0"/>
        <w:autoSpaceDN w:val="0"/>
        <w:bidi w:val="0"/>
        <w:adjustRightInd/>
        <w:snapToGrid/>
        <w:spacing w:before="0" w:after="0" w:line="319" w:lineRule="exact"/>
        <w:ind w:left="0" w:right="0" w:firstLine="0"/>
        <w:jc w:val="center"/>
        <w:rPr>
          <w:rFonts w:hint="eastAsia" w:ascii="仿宋" w:hAnsi="仿宋" w:eastAsia="仿宋" w:cs="仿宋"/>
          <w:color w:val="000000"/>
          <w:spacing w:val="-9"/>
          <w:sz w:val="28"/>
          <w:szCs w:val="28"/>
          <w:highlight w:val="none"/>
          <w:lang w:val="en-US" w:eastAsia="zh-CN"/>
        </w:rPr>
      </w:pPr>
      <w:r>
        <w:rPr>
          <w:rFonts w:hint="eastAsia" w:ascii="仿宋" w:hAnsi="仿宋" w:eastAsia="仿宋" w:cs="仿宋"/>
          <w:color w:val="000000"/>
          <w:spacing w:val="-9"/>
          <w:sz w:val="28"/>
          <w:szCs w:val="28"/>
          <w:highlight w:val="none"/>
          <w:lang w:val="en-US" w:eastAsia="zh-CN"/>
        </w:rPr>
        <w:t>（2025年7月）</w:t>
      </w:r>
    </w:p>
    <w:p w14:paraId="10973141">
      <w:pPr>
        <w:widowControl w:val="0"/>
        <w:autoSpaceDE w:val="0"/>
        <w:autoSpaceDN w:val="0"/>
        <w:spacing w:before="0" w:after="0" w:line="319" w:lineRule="exact"/>
        <w:ind w:left="0" w:right="0" w:firstLine="0"/>
        <w:jc w:val="left"/>
        <w:rPr>
          <w:rFonts w:hint="eastAsia" w:ascii="仿宋" w:hAnsi="仿宋" w:eastAsia="仿宋" w:cs="仿宋"/>
          <w:color w:val="000000"/>
          <w:spacing w:val="-9"/>
          <w:sz w:val="28"/>
          <w:szCs w:val="28"/>
          <w:highlight w:val="none"/>
        </w:rPr>
      </w:pPr>
    </w:p>
    <w:p w14:paraId="5A7C3037">
      <w:pPr>
        <w:keepNext/>
        <w:keepLines/>
        <w:numPr>
          <w:ilvl w:val="1"/>
          <w:numId w:val="12"/>
        </w:numPr>
        <w:contextualSpacing/>
        <w:jc w:val="center"/>
        <w:outlineLvl w:val="9"/>
        <w:rPr>
          <w:rFonts w:hint="eastAsia" w:ascii="仿宋" w:hAnsi="仿宋" w:eastAsia="仿宋" w:cs="仿宋"/>
          <w:bCs/>
          <w:sz w:val="28"/>
          <w:szCs w:val="28"/>
          <w:highlight w:val="none"/>
          <w:lang w:val="en-US" w:eastAsia="en-US" w:bidi="ar-SA"/>
        </w:rPr>
      </w:pPr>
      <w:bookmarkStart w:id="17" w:name="_GoBack"/>
      <w:bookmarkEnd w:id="17"/>
    </w:p>
    <w:p w14:paraId="30BED493">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default" w:ascii="仿宋" w:hAnsi="仿宋" w:eastAsia="仿宋" w:cs="仿宋"/>
          <w:color w:val="000000"/>
          <w:spacing w:val="0"/>
          <w:w w:val="90"/>
          <w:sz w:val="32"/>
          <w:szCs w:val="32"/>
          <w:highlight w:val="none"/>
          <w:u w:val="none"/>
          <w:lang w:val="en-US"/>
        </w:rPr>
      </w:pPr>
      <w:r>
        <w:rPr>
          <w:rFonts w:hint="eastAsia" w:ascii="仿宋" w:hAnsi="仿宋" w:eastAsia="仿宋" w:cs="仿宋"/>
          <w:color w:val="000000"/>
          <w:kern w:val="0"/>
          <w:sz w:val="32"/>
          <w:szCs w:val="32"/>
          <w:highlight w:val="none"/>
          <w:u w:val="none"/>
          <w:lang w:val="en-US" w:eastAsia="zh-CN"/>
        </w:rPr>
        <w:t>项目名称：</w:t>
      </w:r>
      <w:r>
        <w:rPr>
          <w:rFonts w:hint="eastAsia" w:ascii="仿宋" w:hAnsi="仿宋" w:eastAsia="仿宋" w:cs="仿宋"/>
          <w:color w:val="000000"/>
          <w:kern w:val="0"/>
          <w:sz w:val="32"/>
          <w:szCs w:val="32"/>
          <w:highlight w:val="none"/>
          <w:u w:val="single"/>
          <w:lang w:val="en-US" w:eastAsia="zh-CN"/>
        </w:rPr>
        <w:t>违法人员建库项目</w:t>
      </w:r>
    </w:p>
    <w:p w14:paraId="75FE951F">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sz w:val="32"/>
          <w:szCs w:val="32"/>
          <w:highlight w:val="none"/>
          <w:u w:val="single"/>
          <w:lang w:eastAsia="zh-CN"/>
        </w:rPr>
      </w:pPr>
      <w:r>
        <w:rPr>
          <w:rFonts w:hint="eastAsia" w:ascii="仿宋" w:hAnsi="仿宋" w:eastAsia="仿宋" w:cs="仿宋"/>
          <w:color w:val="000000"/>
          <w:spacing w:val="-9"/>
          <w:sz w:val="32"/>
          <w:szCs w:val="32"/>
          <w:highlight w:val="none"/>
        </w:rPr>
        <w:t>采</w:t>
      </w:r>
      <w:r>
        <w:rPr>
          <w:rFonts w:hint="eastAsia" w:ascii="仿宋" w:hAnsi="仿宋" w:eastAsia="仿宋" w:cs="仿宋"/>
          <w:color w:val="000000"/>
          <w:spacing w:val="-9"/>
          <w:sz w:val="32"/>
          <w:szCs w:val="32"/>
          <w:highlight w:val="none"/>
          <w:lang w:val="en-US" w:eastAsia="zh-CN"/>
        </w:rPr>
        <w:t xml:space="preserve"> </w:t>
      </w:r>
      <w:r>
        <w:rPr>
          <w:rFonts w:hint="eastAsia" w:ascii="仿宋" w:hAnsi="仿宋" w:eastAsia="仿宋" w:cs="仿宋"/>
          <w:color w:val="000000"/>
          <w:spacing w:val="-9"/>
          <w:sz w:val="32"/>
          <w:szCs w:val="32"/>
          <w:highlight w:val="none"/>
        </w:rPr>
        <w:t>购</w:t>
      </w:r>
      <w:r>
        <w:rPr>
          <w:rFonts w:hint="eastAsia" w:ascii="仿宋" w:hAnsi="仿宋" w:eastAsia="仿宋" w:cs="仿宋"/>
          <w:color w:val="000000"/>
          <w:spacing w:val="-9"/>
          <w:sz w:val="32"/>
          <w:szCs w:val="32"/>
          <w:highlight w:val="none"/>
          <w:lang w:val="en-US" w:eastAsia="zh-CN"/>
        </w:rPr>
        <w:t xml:space="preserve"> </w:t>
      </w:r>
      <w:r>
        <w:rPr>
          <w:rFonts w:hint="eastAsia" w:ascii="仿宋" w:hAnsi="仿宋" w:eastAsia="仿宋" w:cs="仿宋"/>
          <w:color w:val="000000"/>
          <w:spacing w:val="-9"/>
          <w:sz w:val="32"/>
          <w:szCs w:val="32"/>
          <w:highlight w:val="none"/>
        </w:rPr>
        <w:t>人：</w:t>
      </w:r>
      <w:r>
        <w:rPr>
          <w:rFonts w:hint="eastAsia" w:ascii="仿宋" w:hAnsi="仿宋" w:eastAsia="仿宋" w:cs="仿宋"/>
          <w:color w:val="000000"/>
          <w:spacing w:val="-9"/>
          <w:sz w:val="32"/>
          <w:szCs w:val="32"/>
          <w:highlight w:val="none"/>
          <w:u w:val="single"/>
          <w:lang w:val="en-US" w:eastAsia="zh-CN"/>
        </w:rPr>
        <w:t>贵阳市公安局</w:t>
      </w:r>
    </w:p>
    <w:p w14:paraId="1A61AC7A">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color w:val="000000"/>
          <w:spacing w:val="-9"/>
          <w:sz w:val="32"/>
          <w:szCs w:val="32"/>
          <w:highlight w:val="none"/>
        </w:rPr>
      </w:pPr>
      <w:r>
        <w:rPr>
          <w:rFonts w:hint="eastAsia" w:ascii="仿宋" w:hAnsi="仿宋" w:eastAsia="仿宋" w:cs="仿宋"/>
          <w:color w:val="000000"/>
          <w:spacing w:val="-8"/>
          <w:sz w:val="32"/>
          <w:szCs w:val="32"/>
          <w:highlight w:val="none"/>
          <w:lang w:eastAsia="zh-CN"/>
        </w:rPr>
        <w:t>地</w:t>
      </w:r>
      <w:r>
        <w:rPr>
          <w:rFonts w:hint="eastAsia" w:ascii="仿宋" w:hAnsi="仿宋" w:eastAsia="仿宋" w:cs="仿宋"/>
          <w:color w:val="000000"/>
          <w:spacing w:val="-8"/>
          <w:sz w:val="32"/>
          <w:szCs w:val="32"/>
          <w:highlight w:val="none"/>
          <w:lang w:val="en-US" w:eastAsia="zh-CN"/>
        </w:rPr>
        <w:t xml:space="preserve">   </w:t>
      </w:r>
      <w:r>
        <w:rPr>
          <w:rFonts w:hint="eastAsia" w:ascii="仿宋" w:hAnsi="仿宋" w:eastAsia="仿宋" w:cs="仿宋"/>
          <w:color w:val="000000"/>
          <w:spacing w:val="-8"/>
          <w:sz w:val="32"/>
          <w:szCs w:val="32"/>
          <w:highlight w:val="none"/>
        </w:rPr>
        <w:t>址：</w:t>
      </w:r>
      <w:r>
        <w:rPr>
          <w:rFonts w:hint="eastAsia" w:ascii="仿宋" w:hAnsi="仿宋" w:eastAsia="仿宋" w:cs="仿宋"/>
          <w:color w:val="000000"/>
          <w:spacing w:val="-8"/>
          <w:sz w:val="32"/>
          <w:szCs w:val="32"/>
          <w:highlight w:val="none"/>
          <w:u w:val="single"/>
          <w:lang w:val="en-US" w:eastAsia="zh-CN"/>
        </w:rPr>
        <w:t>贵阳市观山湖区黔灵山路306号</w:t>
      </w:r>
    </w:p>
    <w:p w14:paraId="34C0860A">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color w:val="000000"/>
          <w:spacing w:val="-9"/>
          <w:sz w:val="32"/>
          <w:szCs w:val="32"/>
          <w:highlight w:val="none"/>
          <w:lang w:val="en-US"/>
        </w:rPr>
      </w:pPr>
      <w:r>
        <w:rPr>
          <w:rFonts w:hint="eastAsia" w:ascii="仿宋" w:hAnsi="仿宋" w:eastAsia="仿宋" w:cs="仿宋"/>
          <w:color w:val="000000"/>
          <w:spacing w:val="-9"/>
          <w:sz w:val="32"/>
          <w:szCs w:val="32"/>
          <w:highlight w:val="none"/>
        </w:rPr>
        <w:t>联</w:t>
      </w:r>
      <w:r>
        <w:rPr>
          <w:rFonts w:hint="eastAsia" w:ascii="仿宋" w:hAnsi="仿宋" w:eastAsia="仿宋" w:cs="仿宋"/>
          <w:color w:val="000000"/>
          <w:spacing w:val="-9"/>
          <w:sz w:val="32"/>
          <w:szCs w:val="32"/>
          <w:highlight w:val="none"/>
          <w:lang w:val="en-US" w:eastAsia="zh-CN"/>
        </w:rPr>
        <w:t xml:space="preserve"> </w:t>
      </w:r>
      <w:r>
        <w:rPr>
          <w:rFonts w:hint="eastAsia" w:ascii="仿宋" w:hAnsi="仿宋" w:eastAsia="仿宋" w:cs="仿宋"/>
          <w:color w:val="000000"/>
          <w:spacing w:val="-9"/>
          <w:sz w:val="32"/>
          <w:szCs w:val="32"/>
          <w:highlight w:val="none"/>
        </w:rPr>
        <w:t>系</w:t>
      </w:r>
      <w:r>
        <w:rPr>
          <w:rFonts w:hint="eastAsia" w:ascii="仿宋" w:hAnsi="仿宋" w:eastAsia="仿宋" w:cs="仿宋"/>
          <w:color w:val="000000"/>
          <w:spacing w:val="-9"/>
          <w:sz w:val="32"/>
          <w:szCs w:val="32"/>
          <w:highlight w:val="none"/>
          <w:lang w:val="en-US" w:eastAsia="zh-CN"/>
        </w:rPr>
        <w:t xml:space="preserve"> </w:t>
      </w:r>
      <w:r>
        <w:rPr>
          <w:rFonts w:hint="eastAsia" w:ascii="仿宋" w:hAnsi="仿宋" w:eastAsia="仿宋" w:cs="仿宋"/>
          <w:color w:val="000000"/>
          <w:spacing w:val="-9"/>
          <w:sz w:val="32"/>
          <w:szCs w:val="32"/>
          <w:highlight w:val="none"/>
        </w:rPr>
        <w:t>人：</w:t>
      </w:r>
      <w:r>
        <w:rPr>
          <w:rFonts w:hint="eastAsia" w:ascii="仿宋" w:hAnsi="仿宋" w:eastAsia="仿宋" w:cs="仿宋"/>
          <w:color w:val="000000"/>
          <w:spacing w:val="-9"/>
          <w:sz w:val="32"/>
          <w:szCs w:val="32"/>
          <w:highlight w:val="none"/>
          <w:u w:val="single"/>
          <w:lang w:eastAsia="zh-CN"/>
        </w:rPr>
        <w:t>庄羽</w:t>
      </w:r>
      <w:r>
        <w:rPr>
          <w:rFonts w:hint="eastAsia" w:ascii="仿宋" w:hAnsi="仿宋" w:eastAsia="仿宋" w:cs="仿宋"/>
          <w:color w:val="000000"/>
          <w:spacing w:val="-9"/>
          <w:sz w:val="32"/>
          <w:szCs w:val="32"/>
          <w:highlight w:val="none"/>
          <w:lang w:val="en-US" w:eastAsia="zh-CN"/>
        </w:rPr>
        <w:t xml:space="preserve">               联系电话：</w:t>
      </w:r>
      <w:r>
        <w:rPr>
          <w:rFonts w:hint="eastAsia" w:ascii="仿宋" w:hAnsi="仿宋" w:eastAsia="仿宋" w:cs="仿宋"/>
          <w:color w:val="000000"/>
          <w:spacing w:val="-9"/>
          <w:sz w:val="32"/>
          <w:szCs w:val="32"/>
          <w:highlight w:val="none"/>
          <w:u w:val="single"/>
          <w:lang w:val="en-US" w:eastAsia="zh-CN"/>
        </w:rPr>
        <w:t>18684113322</w:t>
      </w:r>
    </w:p>
    <w:p w14:paraId="5319A740">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9"/>
          <w:sz w:val="32"/>
          <w:szCs w:val="32"/>
          <w:highlight w:val="none"/>
        </w:rPr>
        <w:t>代理机构：</w:t>
      </w:r>
      <w:r>
        <w:rPr>
          <w:rFonts w:hint="eastAsia" w:ascii="仿宋" w:hAnsi="仿宋" w:eastAsia="仿宋" w:cs="仿宋"/>
          <w:color w:val="000000"/>
          <w:spacing w:val="-9"/>
          <w:sz w:val="32"/>
          <w:szCs w:val="32"/>
          <w:highlight w:val="none"/>
          <w:u w:val="single"/>
        </w:rPr>
        <w:t>贵州华盾达招标有限公司</w:t>
      </w:r>
    </w:p>
    <w:p w14:paraId="6B9144C0">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color w:val="000000"/>
          <w:spacing w:val="-8"/>
          <w:sz w:val="32"/>
          <w:szCs w:val="32"/>
          <w:highlight w:val="none"/>
          <w:u w:val="single"/>
          <w:lang w:eastAsia="zh-CN"/>
        </w:rPr>
      </w:pPr>
      <w:r>
        <w:rPr>
          <w:rFonts w:hint="eastAsia" w:ascii="仿宋" w:hAnsi="仿宋" w:eastAsia="仿宋" w:cs="仿宋"/>
          <w:color w:val="000000"/>
          <w:spacing w:val="-8"/>
          <w:sz w:val="32"/>
          <w:szCs w:val="32"/>
          <w:highlight w:val="none"/>
          <w:lang w:eastAsia="zh-CN"/>
        </w:rPr>
        <w:t>地</w:t>
      </w:r>
      <w:r>
        <w:rPr>
          <w:rFonts w:hint="eastAsia" w:ascii="仿宋" w:hAnsi="仿宋" w:eastAsia="仿宋" w:cs="仿宋"/>
          <w:color w:val="000000"/>
          <w:spacing w:val="-8"/>
          <w:sz w:val="32"/>
          <w:szCs w:val="32"/>
          <w:highlight w:val="none"/>
          <w:lang w:val="en-US" w:eastAsia="zh-CN"/>
        </w:rPr>
        <w:t xml:space="preserve">     </w:t>
      </w:r>
      <w:r>
        <w:rPr>
          <w:rFonts w:hint="eastAsia" w:ascii="仿宋" w:hAnsi="仿宋" w:eastAsia="仿宋" w:cs="仿宋"/>
          <w:color w:val="000000"/>
          <w:spacing w:val="-8"/>
          <w:sz w:val="32"/>
          <w:szCs w:val="32"/>
          <w:highlight w:val="none"/>
        </w:rPr>
        <w:t>址：</w:t>
      </w:r>
      <w:r>
        <w:rPr>
          <w:rFonts w:hint="eastAsia" w:ascii="仿宋" w:hAnsi="仿宋" w:eastAsia="仿宋" w:cs="仿宋"/>
          <w:color w:val="000000"/>
          <w:spacing w:val="-8"/>
          <w:sz w:val="32"/>
          <w:szCs w:val="32"/>
          <w:highlight w:val="none"/>
          <w:u w:val="single"/>
          <w:lang w:eastAsia="zh-CN"/>
        </w:rPr>
        <w:t>贵州省贵阳市高新区融创数据小镇A21栋13楼</w:t>
      </w:r>
    </w:p>
    <w:p w14:paraId="2C619E80">
      <w:pPr>
        <w:keepNext w:val="0"/>
        <w:keepLines w:val="0"/>
        <w:pageBreakBefore w:val="0"/>
        <w:widowControl w:val="0"/>
        <w:kinsoku/>
        <w:wordWrap/>
        <w:overflowPunct/>
        <w:topLinePunct w:val="0"/>
        <w:autoSpaceDE w:val="0"/>
        <w:autoSpaceDN w:val="0"/>
        <w:bidi w:val="0"/>
        <w:adjustRightInd/>
        <w:snapToGrid/>
        <w:spacing w:before="0" w:after="0" w:line="480" w:lineRule="auto"/>
        <w:ind w:right="0"/>
        <w:jc w:val="left"/>
        <w:rPr>
          <w:rFonts w:hint="eastAsia" w:ascii="仿宋" w:hAnsi="仿宋" w:eastAsia="仿宋" w:cs="仿宋"/>
          <w:color w:val="000000"/>
          <w:spacing w:val="0"/>
          <w:sz w:val="32"/>
          <w:szCs w:val="32"/>
          <w:highlight w:val="none"/>
          <w:lang w:val="en-US" w:eastAsia="zh-CN"/>
        </w:rPr>
      </w:pPr>
      <w:r>
        <w:rPr>
          <w:rFonts w:hint="eastAsia" w:ascii="仿宋" w:hAnsi="仿宋" w:eastAsia="仿宋" w:cs="仿宋"/>
          <w:color w:val="000000"/>
          <w:spacing w:val="0"/>
          <w:sz w:val="32"/>
          <w:szCs w:val="32"/>
          <w:highlight w:val="none"/>
        </w:rPr>
        <w:t>联</w:t>
      </w:r>
      <w:r>
        <w:rPr>
          <w:rFonts w:hint="eastAsia" w:ascii="仿宋" w:hAnsi="仿宋" w:eastAsia="仿宋" w:cs="仿宋"/>
          <w:color w:val="000000"/>
          <w:spacing w:val="0"/>
          <w:sz w:val="32"/>
          <w:szCs w:val="32"/>
          <w:highlight w:val="none"/>
          <w:lang w:val="en-US" w:eastAsia="zh-CN"/>
        </w:rPr>
        <w:t xml:space="preserve"> </w:t>
      </w:r>
      <w:r>
        <w:rPr>
          <w:rFonts w:hint="eastAsia" w:ascii="仿宋" w:hAnsi="仿宋" w:eastAsia="仿宋" w:cs="仿宋"/>
          <w:color w:val="000000"/>
          <w:spacing w:val="0"/>
          <w:sz w:val="32"/>
          <w:szCs w:val="32"/>
          <w:highlight w:val="none"/>
        </w:rPr>
        <w:t>系</w:t>
      </w:r>
      <w:r>
        <w:rPr>
          <w:rFonts w:hint="eastAsia" w:ascii="仿宋" w:hAnsi="仿宋" w:eastAsia="仿宋" w:cs="仿宋"/>
          <w:color w:val="000000"/>
          <w:spacing w:val="0"/>
          <w:sz w:val="32"/>
          <w:szCs w:val="32"/>
          <w:highlight w:val="none"/>
          <w:lang w:val="en-US" w:eastAsia="zh-CN"/>
        </w:rPr>
        <w:t xml:space="preserve"> </w:t>
      </w:r>
      <w:r>
        <w:rPr>
          <w:rFonts w:hint="eastAsia" w:ascii="仿宋" w:hAnsi="仿宋" w:eastAsia="仿宋" w:cs="仿宋"/>
          <w:color w:val="000000"/>
          <w:spacing w:val="-8"/>
          <w:sz w:val="32"/>
          <w:szCs w:val="32"/>
          <w:highlight w:val="none"/>
        </w:rPr>
        <w:t>人：</w:t>
      </w:r>
      <w:r>
        <w:rPr>
          <w:rFonts w:hint="eastAsia" w:ascii="仿宋" w:hAnsi="仿宋" w:eastAsia="仿宋" w:cs="仿宋"/>
          <w:color w:val="000000"/>
          <w:spacing w:val="-8"/>
          <w:sz w:val="32"/>
          <w:szCs w:val="32"/>
          <w:highlight w:val="none"/>
          <w:u w:val="single"/>
        </w:rPr>
        <w:t>项目部一部</w:t>
      </w:r>
      <w:r>
        <w:rPr>
          <w:rFonts w:hint="eastAsia" w:ascii="仿宋" w:hAnsi="仿宋" w:eastAsia="仿宋" w:cs="仿宋"/>
          <w:color w:val="000000"/>
          <w:spacing w:val="-8"/>
          <w:sz w:val="32"/>
          <w:szCs w:val="32"/>
          <w:highlight w:val="none"/>
          <w:lang w:val="en-US" w:eastAsia="zh-CN"/>
        </w:rPr>
        <w:t xml:space="preserve">          </w:t>
      </w:r>
      <w:r>
        <w:rPr>
          <w:rFonts w:hint="eastAsia" w:ascii="仿宋" w:hAnsi="仿宋" w:eastAsia="仿宋" w:cs="仿宋"/>
          <w:color w:val="000000"/>
          <w:spacing w:val="-9"/>
          <w:sz w:val="32"/>
          <w:szCs w:val="32"/>
          <w:highlight w:val="none"/>
          <w:lang w:val="en-US" w:eastAsia="zh-CN"/>
        </w:rPr>
        <w:t>联系电话：</w:t>
      </w:r>
      <w:r>
        <w:rPr>
          <w:rFonts w:hint="eastAsia" w:ascii="仿宋" w:hAnsi="仿宋" w:eastAsia="仿宋" w:cs="仿宋"/>
          <w:color w:val="000000"/>
          <w:spacing w:val="-9"/>
          <w:sz w:val="32"/>
          <w:szCs w:val="32"/>
          <w:highlight w:val="none"/>
          <w:u w:val="single"/>
          <w:lang w:val="en-US" w:eastAsia="zh-CN"/>
        </w:rPr>
        <w:t>0851-84131233</w:t>
      </w:r>
    </w:p>
    <w:p w14:paraId="07C02F3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24" w:firstLineChars="200"/>
        <w:jc w:val="left"/>
        <w:rPr>
          <w:rFonts w:hint="eastAsia" w:ascii="仿宋" w:hAnsi="仿宋" w:eastAsia="仿宋" w:cs="仿宋"/>
          <w:color w:val="000000"/>
          <w:spacing w:val="-9"/>
          <w:sz w:val="28"/>
          <w:szCs w:val="28"/>
          <w:highlight w:val="none"/>
        </w:rPr>
      </w:pPr>
    </w:p>
    <w:p w14:paraId="391B02D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24" w:firstLineChars="200"/>
        <w:jc w:val="left"/>
        <w:rPr>
          <w:rFonts w:hint="eastAsia" w:ascii="仿宋" w:hAnsi="仿宋" w:eastAsia="仿宋" w:cs="仿宋"/>
          <w:color w:val="000000"/>
          <w:spacing w:val="-9"/>
          <w:sz w:val="28"/>
          <w:szCs w:val="28"/>
          <w:highlight w:val="none"/>
        </w:rPr>
        <w:sectPr>
          <w:pgSz w:w="11906" w:h="16838"/>
          <w:pgMar w:top="1440" w:right="1800" w:bottom="1440" w:left="1800" w:header="851" w:footer="992" w:gutter="0"/>
          <w:pgNumType w:fmt="decimal" w:start="1"/>
          <w:cols w:space="425" w:num="1"/>
          <w:docGrid w:type="lines" w:linePitch="312" w:charSpace="0"/>
        </w:sectPr>
      </w:pPr>
    </w:p>
    <w:p w14:paraId="5E21869A">
      <w:pPr>
        <w:pStyle w:val="84"/>
        <w:pageBreakBefore w:val="0"/>
        <w:widowControl/>
        <w:kinsoku/>
        <w:wordWrap/>
        <w:overflowPunct/>
        <w:topLinePunct w:val="0"/>
        <w:autoSpaceDE/>
        <w:autoSpaceDN/>
        <w:bidi w:val="0"/>
        <w:adjustRightInd/>
        <w:snapToGrid/>
        <w:spacing w:line="360" w:lineRule="auto"/>
        <w:ind w:left="0"/>
        <w:textAlignment w:val="auto"/>
        <w:rPr>
          <w:rFonts w:hint="eastAsia" w:ascii="仿宋" w:hAnsi="仿宋" w:eastAsia="仿宋" w:cs="仿宋"/>
          <w:sz w:val="44"/>
          <w:szCs w:val="44"/>
          <w:highlight w:val="none"/>
        </w:rPr>
      </w:pPr>
      <w:r>
        <w:rPr>
          <w:rFonts w:hint="eastAsia" w:ascii="仿宋" w:hAnsi="仿宋" w:eastAsia="仿宋" w:cs="仿宋"/>
          <w:sz w:val="44"/>
          <w:szCs w:val="44"/>
          <w:highlight w:val="none"/>
        </w:rPr>
        <w:t>项目采购需求</w:t>
      </w:r>
    </w:p>
    <w:p w14:paraId="7ED037D1">
      <w:pPr>
        <w:pStyle w:val="5"/>
        <w:pageBreakBefore w:val="0"/>
        <w:numPr>
          <w:ilvl w:val="2"/>
          <w:numId w:val="0"/>
        </w:numPr>
        <w:tabs>
          <w:tab w:val="left" w:pos="0"/>
          <w:tab w:val="clear" w:pos="312"/>
        </w:tabs>
        <w:kinsoku/>
        <w:wordWrap/>
        <w:overflowPunct/>
        <w:topLinePunct w:val="0"/>
        <w:autoSpaceDE/>
        <w:autoSpaceDN/>
        <w:bidi w:val="0"/>
        <w:adjustRightInd/>
        <w:snapToGrid/>
        <w:spacing w:beforeAutospacing="0" w:after="0" w:afterAutospacing="0" w:line="360" w:lineRule="auto"/>
        <w:ind w:left="0" w:leftChars="0"/>
        <w:jc w:val="center"/>
        <w:textAlignment w:val="auto"/>
        <w:rPr>
          <w:rFonts w:hint="default" w:ascii="仿宋" w:hAnsi="仿宋" w:eastAsia="仿宋" w:cs="仿宋"/>
          <w:b/>
          <w:bCs w:val="0"/>
          <w:highlight w:val="none"/>
          <w:lang w:val="en-US" w:eastAsia="zh-CN"/>
        </w:rPr>
      </w:pPr>
      <w:bookmarkStart w:id="0" w:name="_Toc406671681"/>
      <w:bookmarkStart w:id="1" w:name="_Toc406670722"/>
      <w:bookmarkStart w:id="2" w:name="_Toc406671093"/>
      <w:bookmarkStart w:id="3" w:name="_Toc13998"/>
      <w:bookmarkStart w:id="4" w:name="_Toc406672386"/>
      <w:r>
        <w:rPr>
          <w:rFonts w:hint="eastAsia" w:ascii="仿宋" w:hAnsi="仿宋" w:eastAsia="仿宋" w:cs="仿宋"/>
          <w:b/>
          <w:bCs w:val="0"/>
          <w:sz w:val="30"/>
          <w:szCs w:val="30"/>
          <w:highlight w:val="none"/>
        </w:rPr>
        <w:t xml:space="preserve">第一节 </w:t>
      </w:r>
      <w:bookmarkEnd w:id="0"/>
      <w:bookmarkEnd w:id="1"/>
      <w:bookmarkEnd w:id="2"/>
      <w:bookmarkEnd w:id="3"/>
      <w:bookmarkEnd w:id="4"/>
      <w:r>
        <w:rPr>
          <w:rFonts w:hint="eastAsia" w:ascii="仿宋" w:hAnsi="仿宋" w:eastAsia="仿宋" w:cs="仿宋"/>
          <w:b/>
          <w:bCs/>
          <w:color w:val="auto"/>
          <w:kern w:val="2"/>
          <w:sz w:val="28"/>
          <w:szCs w:val="28"/>
          <w:highlight w:val="none"/>
          <w:lang w:val="en-US" w:eastAsia="zh-CN" w:bidi="ar-SA"/>
        </w:rPr>
        <w:t>技术参数</w:t>
      </w:r>
    </w:p>
    <w:p w14:paraId="7E3982D8">
      <w:pPr>
        <w:pStyle w:val="3"/>
        <w:pageBreakBefore w:val="0"/>
        <w:widowControl/>
        <w:numPr>
          <w:ilvl w:val="0"/>
          <w:numId w:val="0"/>
        </w:numPr>
        <w:kinsoku/>
        <w:wordWrap/>
        <w:overflowPunct/>
        <w:topLinePunct w:val="0"/>
        <w:autoSpaceDE/>
        <w:autoSpaceDN/>
        <w:bidi w:val="0"/>
        <w:adjustRightInd/>
        <w:snapToGrid/>
        <w:spacing w:before="0" w:beforeLines="0" w:line="360" w:lineRule="auto"/>
        <w:ind w:left="0" w:leftChars="0" w:firstLine="0" w:firstLineChars="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一、项目概述</w:t>
      </w:r>
    </w:p>
    <w:p w14:paraId="61D4333A">
      <w:pPr>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本项目</w:t>
      </w:r>
      <w:r>
        <w:rPr>
          <w:rFonts w:hint="eastAsia" w:ascii="仿宋" w:hAnsi="仿宋" w:eastAsia="仿宋" w:cs="仿宋"/>
          <w:color w:val="auto"/>
          <w:sz w:val="28"/>
          <w:szCs w:val="28"/>
          <w:highlight w:val="none"/>
          <w:lang w:val="en-US" w:eastAsia="zh-CN"/>
        </w:rPr>
        <w:t>为违法人员建库项目；</w:t>
      </w:r>
      <w:r>
        <w:rPr>
          <w:rFonts w:hint="eastAsia" w:ascii="仿宋" w:hAnsi="仿宋" w:eastAsia="仿宋" w:cs="仿宋"/>
          <w:color w:val="auto"/>
          <w:kern w:val="2"/>
          <w:sz w:val="28"/>
          <w:szCs w:val="28"/>
          <w:highlight w:val="none"/>
          <w:lang w:val="en-US" w:eastAsia="zh-CN" w:bidi="ar-SA"/>
        </w:rPr>
        <w:t>成交供应商须建立常染色体建库，数量为：86950人份，按10μL体系进行扩增，成交供应商的投标报价须包含人员成本、配套耗材等。</w:t>
      </w:r>
    </w:p>
    <w:p w14:paraId="5DF9EE51">
      <w:pPr>
        <w:pStyle w:val="177"/>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lang w:val="en-US" w:eastAsia="zh-CN" w:bidi="ar-SA"/>
        </w:rPr>
        <w:t>二、</w:t>
      </w:r>
      <w:r>
        <w:rPr>
          <w:rFonts w:hint="eastAsia" w:ascii="仿宋" w:hAnsi="仿宋" w:eastAsia="仿宋" w:cs="仿宋"/>
          <w:b/>
          <w:bCs/>
          <w:color w:val="auto"/>
          <w:kern w:val="2"/>
          <w:sz w:val="28"/>
          <w:szCs w:val="28"/>
          <w:highlight w:val="none"/>
          <w:lang w:val="en-US" w:eastAsia="zh-CN" w:bidi="ar-SA"/>
        </w:rPr>
        <w:t>技术参数</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14:paraId="22D2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000" w:type="pct"/>
            <w:vAlign w:val="center"/>
          </w:tcPr>
          <w:p w14:paraId="5ED98F38">
            <w:pPr>
              <w:pStyle w:val="45"/>
              <w:keepNext w:val="0"/>
              <w:keepLines w:val="0"/>
              <w:pageBreakBefore w:val="0"/>
              <w:widowControl w:val="0"/>
              <w:tabs>
                <w:tab w:val="left" w:pos="2100"/>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b/>
                <w:bCs/>
                <w:sz w:val="21"/>
                <w:szCs w:val="21"/>
                <w:highlight w:val="none"/>
                <w:lang w:val="en-US" w:eastAsia="zh-CN"/>
              </w:rPr>
              <w:t>常染色体检测试剂盒</w:t>
            </w:r>
            <w:r>
              <w:rPr>
                <w:rFonts w:hint="eastAsia" w:ascii="仿宋" w:hAnsi="仿宋" w:eastAsia="仿宋" w:cs="仿宋"/>
                <w:b/>
                <w:bCs/>
                <w:sz w:val="21"/>
                <w:szCs w:val="21"/>
                <w:highlight w:val="none"/>
              </w:rPr>
              <w:t>技</w:t>
            </w:r>
            <w:r>
              <w:rPr>
                <w:rFonts w:hint="eastAsia" w:ascii="仿宋" w:hAnsi="仿宋" w:eastAsia="仿宋" w:cs="仿宋"/>
                <w:b/>
                <w:bCs/>
                <w:sz w:val="21"/>
                <w:szCs w:val="21"/>
              </w:rPr>
              <w:t>术参数</w:t>
            </w:r>
            <w:r>
              <w:rPr>
                <w:rFonts w:hint="eastAsia" w:ascii="仿宋" w:hAnsi="仿宋" w:eastAsia="仿宋" w:cs="仿宋"/>
                <w:b/>
                <w:bCs/>
                <w:sz w:val="21"/>
                <w:szCs w:val="21"/>
                <w:lang w:val="en-US" w:eastAsia="zh-CN"/>
              </w:rPr>
              <w:t>要求</w:t>
            </w:r>
          </w:p>
        </w:tc>
      </w:tr>
      <w:tr w14:paraId="6F1A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000" w:type="pct"/>
            <w:vAlign w:val="center"/>
          </w:tcPr>
          <w:p w14:paraId="5BC31155">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★1、必须包含Amelogenin检验信息，必须包括以下常染色体STR基因座的分型数据：D18S51、D21S11、D3S1358、FGA、D8S1179、vWA、CSF1PO、D16S539、D7S820、D13S317、D5S818、D2S1338、D19S433、TH01、TPOX、D6S1043、Penta D、Penta E、D12S391、D1S1656、D2S441、D22S1045、D10S1248、D8S1132、D15S659、D3S3045、D19S253、D6S477、D10S1435；</w:t>
            </w:r>
            <w:r>
              <w:rPr>
                <w:rFonts w:hint="eastAsia" w:ascii="仿宋" w:hAnsi="仿宋" w:eastAsia="仿宋" w:cs="仿宋"/>
                <w:b/>
                <w:bCs/>
                <w:kern w:val="0"/>
                <w:sz w:val="21"/>
                <w:szCs w:val="21"/>
                <w:lang w:val="en-US" w:eastAsia="zh-CN" w:bidi="ar"/>
              </w:rPr>
              <w:t>（提供分析图谱、数据库基因座信息截图证明）</w:t>
            </w:r>
          </w:p>
          <w:p w14:paraId="13DDFCA9">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1"/>
                <w:szCs w:val="21"/>
                <w:lang w:val="en-US" w:eastAsia="zh-CN" w:bidi="ar"/>
              </w:rPr>
            </w:pPr>
            <w:r>
              <w:rPr>
                <w:rFonts w:hint="eastAsia" w:ascii="仿宋" w:hAnsi="仿宋" w:eastAsia="仿宋" w:cs="仿宋"/>
                <w:kern w:val="0"/>
                <w:sz w:val="21"/>
                <w:szCs w:val="21"/>
                <w:lang w:val="en-US" w:eastAsia="zh-CN" w:bidi="ar"/>
              </w:rPr>
              <w:t>2、为防止性别位点Y丢失造成的性别误判，试剂盒需具有1个Y-indel基因座；</w:t>
            </w:r>
            <w:r>
              <w:rPr>
                <w:rFonts w:hint="eastAsia" w:ascii="仿宋" w:hAnsi="仿宋" w:eastAsia="仿宋" w:cs="仿宋"/>
                <w:b/>
                <w:bCs/>
                <w:kern w:val="0"/>
                <w:sz w:val="21"/>
                <w:szCs w:val="21"/>
                <w:lang w:val="en-US" w:eastAsia="zh-CN" w:bidi="ar"/>
              </w:rPr>
              <w:t>（提供分析图谱、数据库基因座信息截图证明）</w:t>
            </w:r>
          </w:p>
          <w:p w14:paraId="0178B697">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3、为确保检出，试剂盒需包含不少于10个扩增长度小于250bp的Mini-STR位点；最大扩增片段长度不超过600bp，其中20个核心基因座小于450bp；</w:t>
            </w:r>
            <w:r>
              <w:rPr>
                <w:rFonts w:hint="eastAsia" w:ascii="仿宋" w:hAnsi="仿宋" w:eastAsia="仿宋" w:cs="仿宋"/>
                <w:b/>
                <w:bCs/>
                <w:kern w:val="0"/>
                <w:sz w:val="21"/>
                <w:szCs w:val="21"/>
                <w:lang w:val="en-US" w:eastAsia="zh-CN" w:bidi="ar"/>
              </w:rPr>
              <w:t>（提供分析图谱证明）</w:t>
            </w:r>
          </w:p>
          <w:p w14:paraId="29281D81">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4、为提高排查效率，须提供同品牌常+Y试剂盒，单管同时扩增检测至少可完全涵盖19个核心常染色体核心基因座（含性别位点）和20个核心Y-STR基因座，且完全兼容常用检案试剂盒ID-Plus和Yfiler Plus的全部基因座。</w:t>
            </w:r>
            <w:r>
              <w:rPr>
                <w:rFonts w:hint="eastAsia" w:ascii="仿宋" w:hAnsi="仿宋" w:eastAsia="仿宋" w:cs="仿宋"/>
                <w:b/>
                <w:bCs/>
                <w:kern w:val="0"/>
                <w:sz w:val="21"/>
                <w:szCs w:val="21"/>
                <w:lang w:val="en-US" w:eastAsia="zh-CN" w:bidi="ar"/>
              </w:rPr>
              <w:t>（须提供该试剂盒经ID-X分析软件导出的彩色图谱、全国公安机关DNA数据库入库截</w:t>
            </w:r>
            <w:r>
              <w:rPr>
                <w:rFonts w:hint="eastAsia" w:ascii="仿宋" w:hAnsi="仿宋" w:eastAsia="仿宋" w:cs="仿宋"/>
                <w:b/>
                <w:bCs/>
                <w:kern w:val="0"/>
                <w:sz w:val="21"/>
                <w:szCs w:val="21"/>
                <w:highlight w:val="none"/>
                <w:lang w:val="en-US" w:eastAsia="zh-CN" w:bidi="ar"/>
              </w:rPr>
              <w:t>图、省级及以上公安机关出具</w:t>
            </w:r>
            <w:r>
              <w:rPr>
                <w:rFonts w:hint="eastAsia" w:ascii="仿宋" w:hAnsi="仿宋" w:eastAsia="仿宋" w:cs="仿宋"/>
                <w:b/>
                <w:bCs/>
                <w:kern w:val="0"/>
                <w:sz w:val="21"/>
                <w:szCs w:val="21"/>
                <w:lang w:val="en-US" w:eastAsia="zh-CN" w:bidi="ar"/>
              </w:rPr>
              <w:t>的测试报告）</w:t>
            </w:r>
          </w:p>
          <w:p w14:paraId="22943C9C">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★5、常染色体检测试剂盒必须符合《法庭科学人类荧光标记STR复合扩增检测试剂质量基</w:t>
            </w:r>
            <w:r>
              <w:rPr>
                <w:rFonts w:hint="eastAsia" w:ascii="仿宋" w:hAnsi="仿宋" w:eastAsia="仿宋" w:cs="仿宋"/>
                <w:kern w:val="0"/>
                <w:sz w:val="21"/>
                <w:szCs w:val="21"/>
                <w:highlight w:val="none"/>
                <w:lang w:val="en-US" w:eastAsia="zh-CN" w:bidi="ar"/>
              </w:rPr>
              <w:t>本要求》（</w:t>
            </w:r>
            <w:r>
              <w:rPr>
                <w:rFonts w:hint="eastAsia" w:ascii="仿宋" w:hAnsi="仿宋" w:eastAsia="仿宋" w:cs="仿宋"/>
                <w:b/>
                <w:bCs/>
                <w:kern w:val="0"/>
                <w:sz w:val="21"/>
                <w:szCs w:val="21"/>
                <w:highlight w:val="none"/>
                <w:lang w:val="en-US" w:eastAsia="zh-CN" w:bidi="ar"/>
              </w:rPr>
              <w:t>GB/T</w:t>
            </w:r>
            <w:r>
              <w:rPr>
                <w:rFonts w:hint="eastAsia" w:ascii="仿宋" w:hAnsi="仿宋" w:eastAsia="仿宋" w:cs="仿宋"/>
                <w:kern w:val="0"/>
                <w:sz w:val="21"/>
                <w:szCs w:val="21"/>
                <w:highlight w:val="none"/>
                <w:lang w:val="en-US" w:eastAsia="zh-CN" w:bidi="ar"/>
              </w:rPr>
              <w:t xml:space="preserve">  37226-2018）行业标准。</w:t>
            </w:r>
            <w:r>
              <w:rPr>
                <w:rFonts w:hint="eastAsia" w:ascii="仿宋" w:hAnsi="仿宋" w:eastAsia="仿宋" w:cs="仿宋"/>
                <w:b/>
                <w:bCs/>
                <w:kern w:val="0"/>
                <w:sz w:val="21"/>
                <w:szCs w:val="21"/>
                <w:highlight w:val="none"/>
                <w:lang w:val="en-US" w:eastAsia="zh-CN" w:bidi="ar"/>
              </w:rPr>
              <w:t>（提供公安部出具的检测报告）</w:t>
            </w:r>
          </w:p>
          <w:p w14:paraId="459F06C9">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★6、检测试剂盒须具备由中国安全技术防范认证中心颁发的《中国公共安全产品认证证书》</w:t>
            </w:r>
            <w:r>
              <w:rPr>
                <w:rFonts w:hint="eastAsia" w:ascii="仿宋" w:hAnsi="仿宋" w:eastAsia="仿宋" w:cs="仿宋"/>
                <w:b/>
                <w:bCs/>
                <w:kern w:val="0"/>
                <w:sz w:val="21"/>
                <w:szCs w:val="21"/>
                <w:lang w:val="en-US" w:eastAsia="zh-CN" w:bidi="ar"/>
              </w:rPr>
              <w:t>（提供GA证书复印件或扫描件）</w:t>
            </w:r>
          </w:p>
          <w:p w14:paraId="43860530">
            <w:pPr>
              <w:keepNext w:val="0"/>
              <w:keepLines w:val="0"/>
              <w:pageBreakBefore w:val="0"/>
              <w:widowControl w:val="0"/>
              <w:tabs>
                <w:tab w:val="left" w:pos="2100"/>
              </w:tabs>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★7、检测试剂盒名称及基因座信息已录入全国公安DNA数据库，无需删减即可直接导入进行比对；</w:t>
            </w:r>
            <w:r>
              <w:rPr>
                <w:rFonts w:hint="eastAsia" w:ascii="仿宋" w:hAnsi="仿宋" w:eastAsia="仿宋" w:cs="仿宋"/>
                <w:b/>
                <w:bCs/>
                <w:kern w:val="0"/>
                <w:sz w:val="21"/>
                <w:szCs w:val="21"/>
                <w:lang w:val="en-US" w:eastAsia="zh-CN" w:bidi="ar"/>
              </w:rPr>
              <w:t>（提供数据库截图证明）</w:t>
            </w:r>
          </w:p>
        </w:tc>
      </w:tr>
    </w:tbl>
    <w:p w14:paraId="61C5DDB3">
      <w:pPr>
        <w:pStyle w:val="177"/>
        <w:pageBreakBefore w:val="0"/>
        <w:kinsoku/>
        <w:wordWrap/>
        <w:overflowPunct/>
        <w:topLinePunct w:val="0"/>
        <w:autoSpaceDE/>
        <w:autoSpaceDN/>
        <w:bidi w:val="0"/>
        <w:adjustRightInd/>
        <w:snapToGrid/>
        <w:spacing w:line="360" w:lineRule="auto"/>
        <w:ind w:left="0" w:firstLine="560" w:firstLineChars="200"/>
        <w:jc w:val="both"/>
        <w:rPr>
          <w:rFonts w:hint="default" w:ascii="仿宋" w:hAnsi="仿宋" w:eastAsia="仿宋" w:cs="仿宋"/>
          <w:sz w:val="28"/>
          <w:szCs w:val="28"/>
          <w:highlight w:val="none"/>
          <w:lang w:val="en-US" w:eastAsia="zh-CN"/>
        </w:rPr>
      </w:pPr>
    </w:p>
    <w:p w14:paraId="61FA6F24">
      <w:pPr>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b w:val="0"/>
          <w:bCs/>
          <w:kern w:val="44"/>
          <w:sz w:val="28"/>
          <w:szCs w:val="28"/>
          <w:highlight w:val="none"/>
          <w:lang w:val="en-US" w:eastAsia="zh-CN" w:bidi="ar-SA"/>
        </w:rPr>
      </w:pPr>
      <w:r>
        <w:rPr>
          <w:rFonts w:hint="eastAsia" w:ascii="仿宋" w:hAnsi="仿宋" w:eastAsia="仿宋" w:cs="仿宋"/>
          <w:b w:val="0"/>
          <w:bCs/>
          <w:kern w:val="44"/>
          <w:sz w:val="28"/>
          <w:szCs w:val="28"/>
          <w:highlight w:val="none"/>
          <w:lang w:val="en-US" w:eastAsia="zh-CN" w:bidi="ar-SA"/>
        </w:rPr>
        <w:br w:type="page"/>
      </w:r>
    </w:p>
    <w:p w14:paraId="7F7A13CB">
      <w:pPr>
        <w:pStyle w:val="5"/>
        <w:pageBreakBefore w:val="0"/>
        <w:numPr>
          <w:ilvl w:val="2"/>
          <w:numId w:val="0"/>
        </w:numPr>
        <w:tabs>
          <w:tab w:val="left" w:pos="0"/>
          <w:tab w:val="clear" w:pos="312"/>
        </w:tabs>
        <w:kinsoku/>
        <w:wordWrap/>
        <w:overflowPunct/>
        <w:topLinePunct w:val="0"/>
        <w:autoSpaceDE/>
        <w:autoSpaceDN/>
        <w:bidi w:val="0"/>
        <w:adjustRightInd/>
        <w:snapToGrid/>
        <w:spacing w:beforeAutospacing="0" w:afterAutospacing="0" w:line="360" w:lineRule="auto"/>
        <w:ind w:left="0" w:leftChars="0" w:firstLine="602" w:firstLineChars="200"/>
        <w:jc w:val="center"/>
        <w:rPr>
          <w:rFonts w:hint="eastAsia" w:ascii="仿宋" w:hAnsi="仿宋" w:eastAsia="仿宋" w:cs="仿宋"/>
          <w:b w:val="0"/>
          <w:sz w:val="28"/>
          <w:szCs w:val="28"/>
          <w:highlight w:val="none"/>
        </w:rPr>
      </w:pPr>
      <w:r>
        <w:rPr>
          <w:rFonts w:hint="eastAsia" w:ascii="仿宋" w:hAnsi="仿宋" w:eastAsia="仿宋" w:cs="仿宋"/>
          <w:b/>
          <w:bCs w:val="0"/>
          <w:sz w:val="30"/>
          <w:szCs w:val="30"/>
          <w:highlight w:val="none"/>
        </w:rPr>
        <w:t>第</w:t>
      </w:r>
      <w:r>
        <w:rPr>
          <w:rFonts w:hint="eastAsia" w:ascii="仿宋" w:hAnsi="仿宋" w:eastAsia="仿宋" w:cs="仿宋"/>
          <w:b/>
          <w:bCs w:val="0"/>
          <w:sz w:val="30"/>
          <w:szCs w:val="30"/>
          <w:highlight w:val="none"/>
          <w:lang w:val="en-US" w:eastAsia="zh-CN"/>
        </w:rPr>
        <w:t>二</w:t>
      </w:r>
      <w:r>
        <w:rPr>
          <w:rFonts w:hint="eastAsia" w:ascii="仿宋" w:hAnsi="仿宋" w:eastAsia="仿宋" w:cs="仿宋"/>
          <w:b/>
          <w:bCs w:val="0"/>
          <w:sz w:val="30"/>
          <w:szCs w:val="30"/>
          <w:highlight w:val="none"/>
        </w:rPr>
        <w:t xml:space="preserve">节 </w:t>
      </w:r>
      <w:r>
        <w:rPr>
          <w:rFonts w:hint="eastAsia" w:ascii="仿宋" w:hAnsi="仿宋" w:eastAsia="仿宋" w:cs="仿宋"/>
          <w:sz w:val="28"/>
          <w:szCs w:val="28"/>
          <w:highlight w:val="none"/>
        </w:rPr>
        <w:t>商务要求</w:t>
      </w:r>
    </w:p>
    <w:p w14:paraId="08642676">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0" w:firstLineChars="0"/>
        <w:textAlignment w:val="auto"/>
        <w:rPr>
          <w:rFonts w:hint="eastAsia" w:ascii="仿宋" w:hAnsi="仿宋" w:eastAsia="仿宋" w:cs="仿宋"/>
          <w:b/>
          <w:bCs/>
          <w:sz w:val="28"/>
          <w:szCs w:val="28"/>
          <w:highlight w:val="none"/>
          <w:lang w:eastAsia="zh-CN"/>
        </w:rPr>
      </w:pPr>
      <w:bookmarkStart w:id="5" w:name="_Toc4485"/>
      <w:r>
        <w:rPr>
          <w:rFonts w:hint="eastAsia" w:ascii="仿宋" w:hAnsi="仿宋" w:eastAsia="仿宋" w:cs="仿宋"/>
          <w:b/>
          <w:bCs/>
          <w:sz w:val="28"/>
          <w:szCs w:val="28"/>
          <w:highlight w:val="none"/>
          <w:lang w:val="en-US" w:eastAsia="zh-CN"/>
        </w:rPr>
        <w:t>一、</w:t>
      </w:r>
      <w:bookmarkEnd w:id="5"/>
      <w:r>
        <w:rPr>
          <w:rFonts w:hint="eastAsia" w:ascii="仿宋" w:hAnsi="仿宋" w:eastAsia="仿宋" w:cs="仿宋"/>
          <w:b/>
          <w:bCs/>
          <w:sz w:val="28"/>
          <w:szCs w:val="28"/>
          <w:highlight w:val="none"/>
          <w:lang w:val="en-US" w:eastAsia="zh-CN"/>
        </w:rPr>
        <w:t>服务期</w:t>
      </w:r>
      <w:r>
        <w:rPr>
          <w:rFonts w:hint="eastAsia" w:ascii="仿宋" w:hAnsi="仿宋" w:eastAsia="仿宋" w:cs="仿宋"/>
          <w:b/>
          <w:bCs/>
          <w:sz w:val="28"/>
          <w:szCs w:val="28"/>
          <w:highlight w:val="none"/>
          <w:lang w:eastAsia="zh-CN"/>
        </w:rPr>
        <w:t>及</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lang w:eastAsia="zh-CN"/>
        </w:rPr>
        <w:t>地点</w:t>
      </w:r>
    </w:p>
    <w:p w14:paraId="2941FC8D">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后45天内</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86950</w:t>
      </w:r>
      <w:r>
        <w:rPr>
          <w:rFonts w:hint="eastAsia" w:ascii="仿宋" w:hAnsi="仿宋" w:eastAsia="仿宋" w:cs="仿宋"/>
          <w:color w:val="auto"/>
          <w:sz w:val="28"/>
          <w:szCs w:val="28"/>
          <w:highlight w:val="none"/>
        </w:rPr>
        <w:t>人份的违法人员DNA数据库建库，数据质量(分型准确、峰高、均衡性等)符合DNA数据库建设相关要求，数据量以最终导入数据库的数量为准。</w:t>
      </w:r>
    </w:p>
    <w:p w14:paraId="64F2F654">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2.服务</w:t>
      </w:r>
      <w:r>
        <w:rPr>
          <w:rFonts w:hint="eastAsia" w:ascii="仿宋" w:hAnsi="仿宋" w:eastAsia="仿宋" w:cs="仿宋"/>
          <w:color w:val="auto"/>
          <w:sz w:val="28"/>
          <w:szCs w:val="28"/>
          <w:highlight w:val="none"/>
          <w:lang w:eastAsia="zh-CN"/>
        </w:rPr>
        <w:t>地点</w:t>
      </w:r>
      <w:r>
        <w:rPr>
          <w:rFonts w:hint="eastAsia" w:ascii="仿宋" w:hAnsi="仿宋" w:eastAsia="仿宋" w:cs="仿宋"/>
          <w:color w:val="auto"/>
          <w:sz w:val="28"/>
          <w:szCs w:val="28"/>
          <w:highlight w:val="none"/>
        </w:rPr>
        <w:t>：由采购人指定地点</w:t>
      </w:r>
      <w:r>
        <w:rPr>
          <w:rFonts w:hint="eastAsia" w:ascii="仿宋" w:hAnsi="仿宋" w:eastAsia="仿宋" w:cs="仿宋"/>
          <w:color w:val="auto"/>
          <w:sz w:val="28"/>
          <w:szCs w:val="28"/>
          <w:highlight w:val="none"/>
          <w:lang w:eastAsia="zh-CN"/>
        </w:rPr>
        <w:t>。</w:t>
      </w:r>
    </w:p>
    <w:p w14:paraId="7E16FED1">
      <w:pPr>
        <w:pStyle w:val="4"/>
        <w:keepNext w:val="0"/>
        <w:keepLines w:val="0"/>
        <w:pageBreakBefore w:val="0"/>
        <w:numPr>
          <w:ilvl w:val="1"/>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sz w:val="28"/>
          <w:szCs w:val="28"/>
          <w:highlight w:val="none"/>
          <w:lang w:val="en-US" w:eastAsia="zh-CN"/>
        </w:rPr>
      </w:pPr>
      <w:bookmarkStart w:id="6" w:name="_Toc32099"/>
      <w:r>
        <w:rPr>
          <w:rFonts w:hint="eastAsia" w:ascii="仿宋" w:hAnsi="仿宋" w:eastAsia="仿宋" w:cs="仿宋"/>
          <w:sz w:val="28"/>
          <w:szCs w:val="28"/>
          <w:highlight w:val="none"/>
          <w:lang w:val="en-US" w:eastAsia="zh-CN"/>
        </w:rPr>
        <w:t>二、服务要求</w:t>
      </w:r>
    </w:p>
    <w:p w14:paraId="27C833A1">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sz w:val="28"/>
          <w:szCs w:val="28"/>
          <w:highlight w:val="none"/>
          <w:lang w:val="en-US" w:eastAsia="zh-CN"/>
        </w:rPr>
        <w:t>1.供应商须建立合理的数据质控机制，可溯源数据的复核过程，并保证不少于2%的抽检复核。</w:t>
      </w:r>
      <w:r>
        <w:rPr>
          <w:rFonts w:hint="eastAsia" w:ascii="仿宋" w:hAnsi="仿宋" w:eastAsia="仿宋" w:cs="仿宋"/>
          <w:b/>
          <w:bCs/>
          <w:sz w:val="28"/>
          <w:szCs w:val="28"/>
        </w:rPr>
        <w:t>（提供承诺函，格式自拟，附于</w:t>
      </w:r>
      <w:r>
        <w:rPr>
          <w:rFonts w:hint="eastAsia" w:ascii="仿宋" w:hAnsi="仿宋" w:eastAsia="仿宋" w:cs="仿宋"/>
          <w:b/>
          <w:bCs/>
          <w:sz w:val="28"/>
          <w:szCs w:val="28"/>
          <w:lang w:eastAsia="zh-CN"/>
        </w:rPr>
        <w:t>响应文件</w:t>
      </w:r>
      <w:r>
        <w:rPr>
          <w:rFonts w:hint="eastAsia" w:ascii="仿宋" w:hAnsi="仿宋" w:eastAsia="仿宋" w:cs="仿宋"/>
          <w:b/>
          <w:bCs/>
          <w:sz w:val="28"/>
          <w:szCs w:val="28"/>
        </w:rPr>
        <w:t>中）</w:t>
      </w:r>
      <w:r>
        <w:rPr>
          <w:rFonts w:hint="eastAsia" w:ascii="仿宋" w:hAnsi="仿宋" w:eastAsia="仿宋" w:cs="仿宋"/>
          <w:b/>
          <w:bCs/>
          <w:sz w:val="28"/>
          <w:szCs w:val="28"/>
          <w:lang w:eastAsia="zh-CN"/>
        </w:rPr>
        <w:t>。</w:t>
      </w:r>
    </w:p>
    <w:p w14:paraId="5C8F2E7B">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sz w:val="28"/>
          <w:szCs w:val="28"/>
          <w:highlight w:val="none"/>
          <w:lang w:val="en-US" w:eastAsia="zh-CN"/>
        </w:rPr>
        <w:t>2.本次项目必须在公安系统内完成检验工作，供应商不得将样本及任何检验环节的数据带出采购人指定的实验室区域。对DNA检测中涉及的人员样本信息、警务工作信息等负有保密义务。检测人员应当与采购人签署保密协议。</w:t>
      </w:r>
      <w:r>
        <w:rPr>
          <w:rFonts w:hint="eastAsia" w:ascii="仿宋" w:hAnsi="仿宋" w:eastAsia="仿宋" w:cs="仿宋"/>
          <w:b/>
          <w:bCs/>
          <w:sz w:val="28"/>
          <w:szCs w:val="28"/>
        </w:rPr>
        <w:t>（提供承诺函，格式自拟，附于</w:t>
      </w:r>
      <w:r>
        <w:rPr>
          <w:rFonts w:hint="eastAsia" w:ascii="仿宋" w:hAnsi="仿宋" w:eastAsia="仿宋" w:cs="仿宋"/>
          <w:b/>
          <w:bCs/>
          <w:sz w:val="28"/>
          <w:szCs w:val="28"/>
          <w:lang w:eastAsia="zh-CN"/>
        </w:rPr>
        <w:t>响应文件</w:t>
      </w:r>
      <w:r>
        <w:rPr>
          <w:rFonts w:hint="eastAsia" w:ascii="仿宋" w:hAnsi="仿宋" w:eastAsia="仿宋" w:cs="仿宋"/>
          <w:b/>
          <w:bCs/>
          <w:sz w:val="28"/>
          <w:szCs w:val="28"/>
        </w:rPr>
        <w:t>中）</w:t>
      </w:r>
      <w:r>
        <w:rPr>
          <w:rFonts w:hint="eastAsia" w:ascii="仿宋" w:hAnsi="仿宋" w:eastAsia="仿宋" w:cs="仿宋"/>
          <w:b/>
          <w:bCs/>
          <w:sz w:val="28"/>
          <w:szCs w:val="28"/>
          <w:lang w:eastAsia="zh-CN"/>
        </w:rPr>
        <w:t>。</w:t>
      </w:r>
    </w:p>
    <w:p w14:paraId="76F06C5C">
      <w:pPr>
        <w:pStyle w:val="4"/>
        <w:keepNext w:val="0"/>
        <w:keepLines w:val="0"/>
        <w:pageBreakBefore w:val="0"/>
        <w:numPr>
          <w:ilvl w:val="1"/>
          <w:numId w:val="0"/>
        </w:numPr>
        <w:kinsoku/>
        <w:wordWrap/>
        <w:overflowPunct/>
        <w:topLinePunct w:val="0"/>
        <w:autoSpaceDE/>
        <w:autoSpaceDN/>
        <w:bidi w:val="0"/>
        <w:adjustRightInd/>
        <w:snapToGrid/>
        <w:spacing w:before="0" w:after="0" w:line="360" w:lineRule="auto"/>
        <w:textAlignment w:val="auto"/>
        <w:rPr>
          <w:rFonts w:hint="eastAsia" w:ascii="仿宋" w:hAnsi="仿宋" w:eastAsia="仿宋" w:cs="仿宋"/>
          <w:b w:val="0"/>
          <w:sz w:val="28"/>
          <w:szCs w:val="28"/>
          <w:highlight w:val="none"/>
        </w:rPr>
      </w:pP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验收标准、规范及方式</w:t>
      </w:r>
      <w:bookmarkEnd w:id="6"/>
    </w:p>
    <w:p w14:paraId="6C1A636F">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bookmarkStart w:id="7" w:name="_Toc22026"/>
      <w:r>
        <w:rPr>
          <w:rFonts w:hint="eastAsia" w:ascii="仿宋" w:hAnsi="仿宋" w:eastAsia="仿宋" w:cs="仿宋"/>
          <w:color w:val="auto"/>
          <w:sz w:val="28"/>
          <w:szCs w:val="28"/>
          <w:highlight w:val="none"/>
          <w:lang w:val="en-US" w:eastAsia="zh-CN"/>
        </w:rPr>
        <w:t>1.按照《财库〔2016〕205号财政部关于进一步加强政府采购需求和履约验收》要求执行。</w:t>
      </w:r>
    </w:p>
    <w:p w14:paraId="08D48DA2">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2.参照《贵阳市财政局关于加强政府采购履约验收管理工作有关问题的通知》(筑财采〔2022〕4号)要求执行。</w:t>
      </w:r>
    </w:p>
    <w:p w14:paraId="4726BC09">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3.按照采购文件、响应文件、合同及采购人相关规定执行。</w:t>
      </w:r>
    </w:p>
    <w:p w14:paraId="1C92327B">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验收方式：采购人或</w:t>
      </w:r>
      <w:r>
        <w:rPr>
          <w:rFonts w:hint="eastAsia" w:ascii="仿宋" w:hAnsi="仿宋" w:eastAsia="仿宋" w:cs="仿宋"/>
          <w:color w:val="auto"/>
          <w:sz w:val="28"/>
          <w:szCs w:val="28"/>
          <w:highlight w:val="none"/>
          <w:lang w:val="en-US" w:eastAsia="zh-CN"/>
        </w:rPr>
        <w:t>第三方</w:t>
      </w:r>
      <w:r>
        <w:rPr>
          <w:rFonts w:hint="eastAsia" w:ascii="仿宋" w:hAnsi="仿宋" w:eastAsia="仿宋" w:cs="仿宋"/>
          <w:color w:val="auto"/>
          <w:sz w:val="28"/>
          <w:szCs w:val="28"/>
          <w:highlight w:val="none"/>
        </w:rPr>
        <w:t>组成验收小组进行验收，验收小组一般由3人</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以上</w:t>
      </w:r>
      <w:r>
        <w:rPr>
          <w:rFonts w:hint="eastAsia" w:ascii="仿宋" w:hAnsi="仿宋" w:eastAsia="仿宋" w:cs="仿宋"/>
          <w:color w:val="auto"/>
          <w:sz w:val="28"/>
          <w:szCs w:val="28"/>
          <w:highlight w:val="none"/>
          <w:lang w:val="en-US" w:eastAsia="zh-CN"/>
        </w:rPr>
        <w:t>单数</w:t>
      </w:r>
      <w:r>
        <w:rPr>
          <w:rFonts w:hint="eastAsia" w:ascii="仿宋" w:hAnsi="仿宋" w:eastAsia="仿宋" w:cs="仿宋"/>
          <w:color w:val="auto"/>
          <w:sz w:val="28"/>
          <w:szCs w:val="28"/>
          <w:highlight w:val="none"/>
        </w:rPr>
        <w:t>组成</w:t>
      </w:r>
      <w:r>
        <w:rPr>
          <w:rFonts w:hint="eastAsia" w:ascii="仿宋" w:hAnsi="仿宋" w:eastAsia="仿宋" w:cs="仿宋"/>
          <w:color w:val="auto"/>
          <w:sz w:val="28"/>
          <w:szCs w:val="28"/>
          <w:highlight w:val="none"/>
          <w:lang w:eastAsia="zh-CN"/>
        </w:rPr>
        <w:t>。</w:t>
      </w:r>
    </w:p>
    <w:bookmarkEnd w:id="7"/>
    <w:p w14:paraId="6B74398B">
      <w:pPr>
        <w:keepNext w:val="0"/>
        <w:keepLines w:val="0"/>
        <w:pageBreakBefore w:val="0"/>
        <w:widowControl/>
        <w:kinsoku/>
        <w:wordWrap/>
        <w:overflowPunct/>
        <w:topLinePunct w:val="0"/>
        <w:autoSpaceDE/>
        <w:autoSpaceDN/>
        <w:bidi w:val="0"/>
        <w:adjustRightInd/>
        <w:spacing w:before="0" w:beforeAutospacing="0" w:afterAutospacing="0" w:line="360" w:lineRule="auto"/>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w:t>
      </w:r>
      <w:r>
        <w:rPr>
          <w:rFonts w:hint="eastAsia" w:ascii="仿宋" w:hAnsi="仿宋" w:eastAsia="仿宋" w:cs="仿宋"/>
          <w:b/>
          <w:bCs/>
          <w:color w:val="000000"/>
          <w:kern w:val="0"/>
          <w:sz w:val="28"/>
          <w:szCs w:val="28"/>
          <w:lang w:bidi="ar"/>
        </w:rPr>
        <w:t>、</w:t>
      </w:r>
      <w:r>
        <w:rPr>
          <w:rFonts w:hint="eastAsia" w:ascii="仿宋" w:hAnsi="仿宋" w:eastAsia="仿宋" w:cs="仿宋"/>
          <w:b/>
          <w:bCs/>
          <w:color w:val="000000"/>
          <w:kern w:val="0"/>
          <w:sz w:val="28"/>
          <w:szCs w:val="28"/>
          <w:lang w:eastAsia="zh-CN" w:bidi="ar"/>
        </w:rPr>
        <w:t>质量</w:t>
      </w:r>
      <w:r>
        <w:rPr>
          <w:rFonts w:hint="eastAsia" w:ascii="仿宋" w:hAnsi="仿宋" w:eastAsia="仿宋" w:cs="仿宋"/>
          <w:b/>
          <w:bCs/>
          <w:color w:val="000000"/>
          <w:kern w:val="0"/>
          <w:sz w:val="28"/>
          <w:szCs w:val="28"/>
          <w:lang w:val="en-US" w:eastAsia="zh-CN" w:bidi="ar"/>
        </w:rPr>
        <w:t>保证</w:t>
      </w:r>
      <w:r>
        <w:rPr>
          <w:rFonts w:hint="eastAsia" w:ascii="仿宋" w:hAnsi="仿宋" w:eastAsia="仿宋" w:cs="仿宋"/>
          <w:b/>
          <w:bCs/>
          <w:color w:val="000000"/>
          <w:kern w:val="0"/>
          <w:sz w:val="28"/>
          <w:szCs w:val="28"/>
          <w:lang w:eastAsia="zh-CN" w:bidi="ar"/>
        </w:rPr>
        <w:t>期</w:t>
      </w:r>
      <w:r>
        <w:rPr>
          <w:rFonts w:hint="eastAsia" w:ascii="仿宋" w:hAnsi="仿宋" w:eastAsia="仿宋" w:cs="仿宋"/>
          <w:b/>
          <w:bCs/>
          <w:color w:val="000000"/>
          <w:kern w:val="0"/>
          <w:sz w:val="28"/>
          <w:szCs w:val="28"/>
          <w:lang w:val="en-US" w:eastAsia="zh-CN" w:bidi="ar"/>
        </w:rPr>
        <w:t>及售后服务</w:t>
      </w:r>
    </w:p>
    <w:p w14:paraId="39B9E8B0">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1.</w:t>
      </w:r>
      <w:r>
        <w:rPr>
          <w:rFonts w:hint="eastAsia" w:ascii="仿宋" w:hAnsi="仿宋" w:eastAsia="仿宋" w:cs="仿宋"/>
          <w:kern w:val="0"/>
          <w:sz w:val="28"/>
          <w:szCs w:val="28"/>
          <w:highlight w:val="none"/>
          <w:lang w:eastAsia="zh-CN" w:bidi="ar"/>
        </w:rPr>
        <w:t>质量</w:t>
      </w:r>
      <w:r>
        <w:rPr>
          <w:rFonts w:hint="eastAsia" w:ascii="仿宋" w:hAnsi="仿宋" w:eastAsia="仿宋" w:cs="仿宋"/>
          <w:kern w:val="0"/>
          <w:sz w:val="28"/>
          <w:szCs w:val="28"/>
          <w:highlight w:val="none"/>
          <w:lang w:val="en-US" w:eastAsia="zh-CN" w:bidi="ar"/>
        </w:rPr>
        <w:t>保证</w:t>
      </w:r>
      <w:r>
        <w:rPr>
          <w:rFonts w:hint="eastAsia" w:ascii="仿宋" w:hAnsi="仿宋" w:eastAsia="仿宋" w:cs="仿宋"/>
          <w:kern w:val="0"/>
          <w:sz w:val="28"/>
          <w:szCs w:val="28"/>
          <w:highlight w:val="none"/>
          <w:lang w:eastAsia="zh-CN" w:bidi="ar"/>
        </w:rPr>
        <w:t>期：一年。</w:t>
      </w:r>
      <w:r>
        <w:rPr>
          <w:rFonts w:hint="eastAsia" w:ascii="仿宋" w:hAnsi="仿宋" w:eastAsia="仿宋" w:cs="仿宋"/>
          <w:kern w:val="0"/>
          <w:sz w:val="28"/>
          <w:szCs w:val="28"/>
          <w:highlight w:val="none"/>
          <w:lang w:val="en-US" w:eastAsia="zh-CN" w:bidi="ar"/>
        </w:rPr>
        <w:t>保证期内，供应商负责整理血液卡入库完善工作，及实验区内的卫生保洁工作。</w:t>
      </w:r>
    </w:p>
    <w:p w14:paraId="0200C995">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highlight w:val="none"/>
          <w:lang w:val="en-US" w:eastAsia="zh-CN" w:bidi="ar"/>
        </w:rPr>
        <w:t>2.供应商须设有7×24小时售后服务电话，负</w:t>
      </w:r>
      <w:r>
        <w:rPr>
          <w:rFonts w:hint="eastAsia" w:ascii="仿宋" w:hAnsi="仿宋" w:eastAsia="仿宋" w:cs="仿宋"/>
          <w:kern w:val="0"/>
          <w:sz w:val="28"/>
          <w:szCs w:val="28"/>
          <w:lang w:val="en-US" w:eastAsia="zh-CN" w:bidi="ar"/>
        </w:rPr>
        <w:t>责解答采购人在使用过程中遇到的问题，及时提出解决问题的建议和操作方法。</w:t>
      </w:r>
    </w:p>
    <w:p w14:paraId="696D6522">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eastAsia="zh-CN" w:bidi="ar"/>
        </w:rPr>
        <w:t>售后服务响应时间为1小时以内，</w:t>
      </w:r>
      <w:r>
        <w:rPr>
          <w:rFonts w:hint="eastAsia" w:ascii="仿宋" w:hAnsi="仿宋" w:eastAsia="仿宋" w:cs="仿宋"/>
          <w:kern w:val="0"/>
          <w:sz w:val="28"/>
          <w:szCs w:val="28"/>
          <w:lang w:val="en-US" w:eastAsia="zh-CN" w:bidi="ar"/>
        </w:rPr>
        <w:t>24</w:t>
      </w:r>
      <w:r>
        <w:rPr>
          <w:rFonts w:hint="eastAsia" w:ascii="仿宋" w:hAnsi="仿宋" w:eastAsia="仿宋" w:cs="仿宋"/>
          <w:kern w:val="0"/>
          <w:sz w:val="28"/>
          <w:szCs w:val="28"/>
          <w:lang w:eastAsia="zh-CN" w:bidi="ar"/>
        </w:rPr>
        <w:t>小时内解决问题。如不</w:t>
      </w:r>
      <w:r>
        <w:rPr>
          <w:rFonts w:hint="eastAsia" w:ascii="仿宋" w:hAnsi="仿宋" w:eastAsia="仿宋" w:cs="仿宋"/>
          <w:kern w:val="0"/>
          <w:sz w:val="28"/>
          <w:szCs w:val="28"/>
          <w:highlight w:val="none"/>
          <w:lang w:eastAsia="zh-CN" w:bidi="ar"/>
        </w:rPr>
        <w:t>能及时解决应提供备用试剂及耗材。</w:t>
      </w:r>
    </w:p>
    <w:p w14:paraId="32A0FD01">
      <w:pPr>
        <w:keepNext w:val="0"/>
        <w:keepLines w:val="0"/>
        <w:pageBreakBefore w:val="0"/>
        <w:widowControl/>
        <w:kinsoku/>
        <w:wordWrap/>
        <w:overflowPunct/>
        <w:topLinePunct w:val="0"/>
        <w:autoSpaceDE/>
        <w:autoSpaceDN/>
        <w:bidi w:val="0"/>
        <w:adjustRightInd/>
        <w:spacing w:before="0" w:beforeAutospacing="0" w:afterAutospacing="0" w:line="360" w:lineRule="auto"/>
        <w:textAlignment w:val="auto"/>
        <w:rPr>
          <w:rFonts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val="en-US" w:eastAsia="zh-CN" w:bidi="ar"/>
        </w:rPr>
        <w:t>五</w:t>
      </w:r>
      <w:r>
        <w:rPr>
          <w:rFonts w:hint="eastAsia" w:ascii="仿宋" w:hAnsi="仿宋" w:eastAsia="仿宋" w:cs="仿宋"/>
          <w:b/>
          <w:bCs/>
          <w:color w:val="000000"/>
          <w:kern w:val="0"/>
          <w:sz w:val="28"/>
          <w:szCs w:val="28"/>
          <w:highlight w:val="none"/>
          <w:lang w:bidi="ar"/>
        </w:rPr>
        <w:t>、付款方式</w:t>
      </w:r>
    </w:p>
    <w:p w14:paraId="5ABF5FCD">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val="en-US" w:eastAsia="zh-CN" w:bidi="ar"/>
        </w:rPr>
        <w:t>中标供应商完成86950人份的违法人员DNA数据库建库服务后，验收小组在国家数据库内进行验收，数据质量符合DNA数据库建设相关要求后，</w:t>
      </w:r>
      <w:r>
        <w:rPr>
          <w:rFonts w:hint="eastAsia" w:ascii="仿宋" w:hAnsi="仿宋" w:eastAsia="仿宋" w:cs="仿宋"/>
          <w:kern w:val="0"/>
          <w:sz w:val="28"/>
          <w:szCs w:val="28"/>
          <w:highlight w:val="none"/>
          <w:lang w:eastAsia="zh-CN" w:bidi="ar"/>
        </w:rPr>
        <w:t>采购人</w:t>
      </w:r>
      <w:r>
        <w:rPr>
          <w:rFonts w:hint="eastAsia" w:ascii="仿宋" w:hAnsi="仿宋" w:eastAsia="仿宋" w:cs="仿宋"/>
          <w:kern w:val="0"/>
          <w:sz w:val="28"/>
          <w:szCs w:val="28"/>
          <w:highlight w:val="none"/>
          <w:lang w:val="en-US" w:eastAsia="zh-CN" w:bidi="ar"/>
        </w:rPr>
        <w:t>支付全部合同金额</w:t>
      </w:r>
      <w:r>
        <w:rPr>
          <w:rFonts w:hint="eastAsia" w:ascii="仿宋" w:hAnsi="仿宋" w:eastAsia="仿宋" w:cs="仿宋"/>
          <w:kern w:val="0"/>
          <w:sz w:val="28"/>
          <w:szCs w:val="28"/>
          <w:highlight w:val="none"/>
          <w:lang w:eastAsia="zh-CN" w:bidi="ar"/>
        </w:rPr>
        <w:t>。</w:t>
      </w:r>
    </w:p>
    <w:p w14:paraId="752E8F53">
      <w:pPr>
        <w:keepNext w:val="0"/>
        <w:keepLines w:val="0"/>
        <w:pageBreakBefore w:val="0"/>
        <w:widowControl/>
        <w:kinsoku/>
        <w:wordWrap/>
        <w:overflowPunct/>
        <w:topLinePunct w:val="0"/>
        <w:autoSpaceDE/>
        <w:autoSpaceDN/>
        <w:bidi w:val="0"/>
        <w:adjustRightInd/>
        <w:spacing w:before="0" w:beforeAutospacing="0" w:afterAutospacing="0" w:line="360" w:lineRule="auto"/>
        <w:textAlignment w:val="auto"/>
        <w:rPr>
          <w:rFonts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val="en-US" w:eastAsia="zh-CN" w:bidi="ar"/>
        </w:rPr>
        <w:t>六</w:t>
      </w:r>
      <w:r>
        <w:rPr>
          <w:rFonts w:hint="eastAsia" w:ascii="仿宋" w:hAnsi="仿宋" w:eastAsia="仿宋" w:cs="仿宋"/>
          <w:b/>
          <w:bCs/>
          <w:color w:val="000000"/>
          <w:kern w:val="0"/>
          <w:sz w:val="28"/>
          <w:szCs w:val="28"/>
          <w:highlight w:val="none"/>
          <w:lang w:bidi="ar"/>
        </w:rPr>
        <w:t xml:space="preserve">、其他要求 </w:t>
      </w:r>
    </w:p>
    <w:p w14:paraId="42C4B5A8">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应保证采购人使用所投产品或产品的任何一部分时，不受第三方侵权指控</w:t>
      </w:r>
      <w:r>
        <w:rPr>
          <w:rFonts w:hint="eastAsia" w:ascii="仿宋" w:hAnsi="仿宋" w:eastAsia="仿宋" w:cs="仿宋"/>
          <w:sz w:val="28"/>
          <w:szCs w:val="28"/>
          <w:highlight w:val="none"/>
          <w:lang w:eastAsia="zh-CN"/>
        </w:rPr>
        <w:t>，如果第三方提出侵权指控，中标</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lang w:eastAsia="zh-CN"/>
        </w:rPr>
        <w:t>应承担由此而引起的一切法律责任和费用。</w:t>
      </w:r>
      <w:r>
        <w:rPr>
          <w:rFonts w:hint="eastAsia" w:ascii="仿宋" w:hAnsi="仿宋" w:eastAsia="仿宋" w:cs="仿宋"/>
          <w:b/>
          <w:bCs/>
          <w:sz w:val="28"/>
          <w:szCs w:val="28"/>
          <w:highlight w:val="none"/>
        </w:rPr>
        <w:t>（提供承诺函，格式自拟，附于</w:t>
      </w:r>
      <w:r>
        <w:rPr>
          <w:rFonts w:hint="eastAsia" w:ascii="仿宋" w:hAnsi="仿宋" w:eastAsia="仿宋" w:cs="仿宋"/>
          <w:b/>
          <w:bCs/>
          <w:sz w:val="28"/>
          <w:szCs w:val="28"/>
          <w:highlight w:val="none"/>
          <w:lang w:eastAsia="zh-CN"/>
        </w:rPr>
        <w:t>响应文件</w:t>
      </w:r>
      <w:r>
        <w:rPr>
          <w:rFonts w:hint="eastAsia" w:ascii="仿宋" w:hAnsi="仿宋" w:eastAsia="仿宋" w:cs="仿宋"/>
          <w:b/>
          <w:bCs/>
          <w:sz w:val="28"/>
          <w:szCs w:val="28"/>
          <w:highlight w:val="none"/>
        </w:rPr>
        <w:t>中）</w:t>
      </w:r>
      <w:r>
        <w:rPr>
          <w:rFonts w:hint="eastAsia" w:ascii="仿宋" w:hAnsi="仿宋" w:eastAsia="仿宋" w:cs="仿宋"/>
          <w:b/>
          <w:bCs/>
          <w:sz w:val="28"/>
          <w:szCs w:val="28"/>
          <w:highlight w:val="none"/>
          <w:lang w:eastAsia="zh-CN"/>
        </w:rPr>
        <w:t>。</w:t>
      </w:r>
    </w:p>
    <w:p w14:paraId="5E248A2F">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供应商应保证所投检测试剂盒的安全性、可靠性、先进性、经济性和实用性，并为全新、未使用过的原装合格正品，完全符合磋商文件规定的质量和性能的要求，达到中国最新版的法律、法规或行业规定的相关标准、规范的要求。</w:t>
      </w:r>
    </w:p>
    <w:p w14:paraId="2F2C017E">
      <w:pPr>
        <w:pStyle w:val="4"/>
        <w:keepNext w:val="0"/>
        <w:keepLines w:val="0"/>
        <w:pageBreakBefore w:val="0"/>
        <w:numPr>
          <w:ilvl w:val="1"/>
          <w:numId w:val="0"/>
        </w:numPr>
        <w:kinsoku/>
        <w:wordWrap/>
        <w:overflowPunct/>
        <w:topLinePunct w:val="0"/>
        <w:autoSpaceDE/>
        <w:autoSpaceDN/>
        <w:bidi w:val="0"/>
        <w:adjustRightInd/>
        <w:spacing w:before="0" w:after="0" w:line="360" w:lineRule="auto"/>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七、报价要求</w:t>
      </w:r>
    </w:p>
    <w:p w14:paraId="08289A90">
      <w:pPr>
        <w:pStyle w:val="4"/>
        <w:keepNext w:val="0"/>
        <w:keepLines w:val="0"/>
        <w:pageBreakBefore w:val="0"/>
        <w:numPr>
          <w:ilvl w:val="1"/>
          <w:numId w:val="0"/>
        </w:numPr>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本项目投标报价为总价包干，以人民币为结算单位，报价应包含但不限于所提供的服务、检测试剂盒及其他配套耗材的供货、包装、运输、保险、辅助设备、管理、维护（包括质量保证期内的一切服务费用等）、劳务、验收、利润、风险、税金及为本项目提供的服务所涉及到的一切相关费用，采购人不再支付其他任何费用。</w:t>
      </w:r>
    </w:p>
    <w:p w14:paraId="5941F921">
      <w:pPr>
        <w:pStyle w:val="4"/>
        <w:keepNext w:val="0"/>
        <w:keepLines w:val="0"/>
        <w:pageBreakBefore w:val="0"/>
        <w:numPr>
          <w:ilvl w:val="1"/>
          <w:numId w:val="0"/>
        </w:numPr>
        <w:kinsoku/>
        <w:wordWrap/>
        <w:overflowPunct/>
        <w:topLinePunct w:val="0"/>
        <w:autoSpaceDE/>
        <w:autoSpaceDN/>
        <w:bidi w:val="0"/>
        <w:adjustRightInd/>
        <w:spacing w:before="0" w:after="0" w:line="360" w:lineRule="auto"/>
        <w:jc w:val="both"/>
        <w:textAlignment w:val="auto"/>
        <w:rPr>
          <w:rFonts w:hint="eastAsia" w:ascii="仿宋" w:hAnsi="仿宋" w:eastAsia="仿宋" w:cs="仿宋"/>
          <w:b w:val="0"/>
          <w:sz w:val="28"/>
          <w:szCs w:val="28"/>
          <w:highlight w:val="none"/>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投标有效期</w:t>
      </w:r>
    </w:p>
    <w:p w14:paraId="5ADBB7AA">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i w:val="0"/>
          <w:spacing w:val="0"/>
          <w:w w:val="100"/>
          <w:sz w:val="28"/>
          <w:szCs w:val="28"/>
          <w:highlight w:val="none"/>
        </w:rPr>
        <w:t>投标截止日起计算90个日历日</w:t>
      </w:r>
      <w:r>
        <w:rPr>
          <w:rFonts w:hint="eastAsia" w:ascii="仿宋" w:hAnsi="仿宋" w:eastAsia="仿宋" w:cs="仿宋"/>
          <w:b w:val="0"/>
          <w:bCs/>
          <w:i w:val="0"/>
          <w:spacing w:val="0"/>
          <w:w w:val="100"/>
          <w:sz w:val="28"/>
          <w:szCs w:val="28"/>
          <w:highlight w:val="none"/>
          <w:lang w:eastAsia="zh-CN"/>
        </w:rPr>
        <w:t>。</w:t>
      </w:r>
      <w:bookmarkStart w:id="8" w:name="br1_12"/>
      <w:bookmarkEnd w:id="8"/>
    </w:p>
    <w:p w14:paraId="76BF8714">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p>
    <w:p w14:paraId="2337EDC1">
      <w:pPr>
        <w:pStyle w:val="84"/>
        <w:pageBreakBefore w:val="0"/>
        <w:widowControl/>
        <w:kinsoku/>
        <w:wordWrap/>
        <w:overflowPunct/>
        <w:topLinePunct w:val="0"/>
        <w:autoSpaceDE/>
        <w:autoSpaceDN/>
        <w:bidi w:val="0"/>
        <w:adjustRightInd/>
        <w:spacing w:line="360" w:lineRule="auto"/>
        <w:ind w:left="0" w:firstLine="643" w:firstLineChars="20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采购实施计划</w:t>
      </w:r>
    </w:p>
    <w:p w14:paraId="4D1A120E">
      <w:pPr>
        <w:pStyle w:val="3"/>
        <w:pageBreakBefore w:val="0"/>
        <w:widowControl/>
        <w:numPr>
          <w:ilvl w:val="0"/>
          <w:numId w:val="13"/>
        </w:numPr>
        <w:kinsoku/>
        <w:wordWrap/>
        <w:overflowPunct/>
        <w:topLinePunct w:val="0"/>
        <w:autoSpaceDE/>
        <w:autoSpaceDN/>
        <w:bidi w:val="0"/>
        <w:adjustRightInd/>
        <w:spacing w:before="0" w:beforeLines="0" w:line="360" w:lineRule="auto"/>
        <w:ind w:left="0" w:leftChars="0" w:firstLine="562"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合同订立与安排</w:t>
      </w:r>
    </w:p>
    <w:p w14:paraId="7F62599C">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采购项目预（概）算</w:t>
      </w:r>
      <w:r>
        <w:rPr>
          <w:rFonts w:hint="eastAsia" w:ascii="仿宋" w:hAnsi="仿宋" w:eastAsia="仿宋" w:cs="仿宋"/>
          <w:sz w:val="28"/>
          <w:szCs w:val="28"/>
          <w:highlight w:val="none"/>
          <w:lang w:val="en-US" w:eastAsia="zh-CN"/>
        </w:rPr>
        <w:t>及</w:t>
      </w:r>
      <w:r>
        <w:rPr>
          <w:rFonts w:hint="eastAsia" w:ascii="仿宋" w:hAnsi="仿宋" w:eastAsia="仿宋" w:cs="仿宋"/>
          <w:color w:val="000000"/>
          <w:sz w:val="28"/>
          <w:szCs w:val="28"/>
          <w:highlight w:val="none"/>
        </w:rPr>
        <w:t>最高限价：</w:t>
      </w:r>
      <w:r>
        <w:rPr>
          <w:rFonts w:hint="eastAsia" w:ascii="仿宋" w:hAnsi="仿宋" w:eastAsia="仿宋" w:cs="仿宋"/>
          <w:color w:val="000000"/>
          <w:sz w:val="28"/>
          <w:szCs w:val="28"/>
          <w:highlight w:val="none"/>
          <w:lang w:val="en-US" w:eastAsia="zh-CN"/>
        </w:rPr>
        <w:t>本项目预算为：</w:t>
      </w:r>
      <w:r>
        <w:rPr>
          <w:rFonts w:hint="eastAsia" w:ascii="仿宋" w:hAnsi="仿宋" w:eastAsia="仿宋" w:cs="仿宋"/>
          <w:color w:val="000000"/>
          <w:sz w:val="28"/>
          <w:szCs w:val="28"/>
          <w:highlight w:val="none"/>
          <w:u w:val="single"/>
          <w:lang w:val="en-US" w:eastAsia="zh-CN"/>
        </w:rPr>
        <w:t>1,956,375.00元</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本项目最高限价为</w:t>
      </w:r>
      <w:r>
        <w:rPr>
          <w:rFonts w:hint="eastAsia" w:ascii="仿宋" w:hAnsi="仿宋" w:eastAsia="仿宋" w:cs="仿宋"/>
          <w:color w:val="000000"/>
          <w:sz w:val="28"/>
          <w:szCs w:val="28"/>
          <w:highlight w:val="none"/>
          <w:u w:val="single"/>
          <w:lang w:val="en-US" w:eastAsia="zh-CN"/>
        </w:rPr>
        <w:t>1,956,375.00元</w:t>
      </w:r>
      <w:r>
        <w:rPr>
          <w:rFonts w:hint="eastAsia" w:ascii="仿宋" w:hAnsi="仿宋" w:eastAsia="仿宋" w:cs="仿宋"/>
          <w:color w:val="000000"/>
          <w:sz w:val="28"/>
          <w:szCs w:val="28"/>
          <w:highlight w:val="none"/>
          <w:lang w:val="en-US" w:eastAsia="zh-CN"/>
        </w:rPr>
        <w:t>。</w:t>
      </w:r>
    </w:p>
    <w:p w14:paraId="0343646E">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采购实施时间：</w:t>
      </w:r>
      <w:r>
        <w:rPr>
          <w:rFonts w:hint="eastAsia" w:ascii="仿宋" w:hAnsi="仿宋" w:eastAsia="仿宋" w:cs="仿宋"/>
          <w:color w:val="000000"/>
          <w:sz w:val="28"/>
          <w:szCs w:val="28"/>
          <w:highlight w:val="none"/>
          <w:u w:val="single"/>
        </w:rPr>
        <w:t>2025年</w:t>
      </w:r>
      <w:r>
        <w:rPr>
          <w:rFonts w:hint="eastAsia" w:ascii="仿宋" w:hAnsi="仿宋" w:eastAsia="仿宋" w:cs="仿宋"/>
          <w:color w:val="000000"/>
          <w:sz w:val="28"/>
          <w:szCs w:val="28"/>
          <w:highlight w:val="none"/>
          <w:u w:val="single"/>
          <w:lang w:val="en-US" w:eastAsia="zh-CN"/>
        </w:rPr>
        <w:t>7—8</w:t>
      </w:r>
      <w:r>
        <w:rPr>
          <w:rFonts w:hint="eastAsia" w:ascii="仿宋" w:hAnsi="仿宋" w:eastAsia="仿宋" w:cs="仿宋"/>
          <w:color w:val="000000"/>
          <w:sz w:val="28"/>
          <w:szCs w:val="28"/>
          <w:highlight w:val="none"/>
          <w:u w:val="single"/>
        </w:rPr>
        <w:t>月</w:t>
      </w:r>
      <w:r>
        <w:rPr>
          <w:rFonts w:hint="eastAsia" w:ascii="仿宋" w:hAnsi="仿宋" w:eastAsia="仿宋" w:cs="仿宋"/>
          <w:color w:val="000000"/>
          <w:sz w:val="28"/>
          <w:szCs w:val="28"/>
          <w:highlight w:val="none"/>
          <w:u w:val="none"/>
          <w:lang w:eastAsia="zh-CN"/>
        </w:rPr>
        <w:t>。</w:t>
      </w:r>
    </w:p>
    <w:p w14:paraId="38EB7E76">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采购组织形式：</w:t>
      </w:r>
    </w:p>
    <w:p w14:paraId="400F505B">
      <w:pPr>
        <w:pStyle w:val="21"/>
        <w:keepNext w:val="0"/>
        <w:keepLines w:val="0"/>
        <w:pageBreakBefore w:val="0"/>
        <w:kinsoku/>
        <w:wordWrap/>
        <w:overflowPunct/>
        <w:topLinePunct w:val="0"/>
        <w:autoSpaceDE/>
        <w:autoSpaceDN/>
        <w:bidi w:val="0"/>
        <w:adjustRightInd/>
        <w:spacing w:beforeAutospacing="0" w:afterAutospacing="0" w:line="360" w:lineRule="auto"/>
        <w:ind w:left="0" w:leftChars="0"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集中采购□ 分散采购☑ 自行采购□</w:t>
      </w:r>
    </w:p>
    <w:p w14:paraId="5036BA80">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委托代理机构安排：</w:t>
      </w:r>
    </w:p>
    <w:p w14:paraId="2C634B2A">
      <w:pPr>
        <w:pStyle w:val="21"/>
        <w:keepNext w:val="0"/>
        <w:keepLines w:val="0"/>
        <w:pageBreakBefore w:val="0"/>
        <w:kinsoku/>
        <w:wordWrap/>
        <w:overflowPunct/>
        <w:topLinePunct w:val="0"/>
        <w:autoSpaceDE/>
        <w:autoSpaceDN/>
        <w:bidi w:val="0"/>
        <w:adjustRightInd/>
        <w:spacing w:beforeAutospacing="0" w:afterAutospacing="0" w:line="360" w:lineRule="auto"/>
        <w:ind w:left="0" w:leftChars="0" w:firstLine="560" w:firstLineChars="200"/>
        <w:jc w:val="both"/>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委托社会代理机构组织采购：（贵州华盾达招标有限公司）按政府采购竞争性磋商程序进行</w:t>
      </w:r>
      <w:r>
        <w:rPr>
          <w:rFonts w:hint="eastAsia" w:ascii="仿宋" w:hAnsi="仿宋" w:eastAsia="仿宋" w:cs="仿宋"/>
          <w:sz w:val="28"/>
          <w:szCs w:val="28"/>
          <w:highlight w:val="none"/>
          <w:u w:val="none"/>
          <w:lang w:val="en-US" w:eastAsia="zh-CN"/>
        </w:rPr>
        <w:t>。</w:t>
      </w:r>
    </w:p>
    <w:p w14:paraId="2607AFC1">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采购包划分和合同分包：</w:t>
      </w:r>
    </w:p>
    <w:p w14:paraId="177E3C1B">
      <w:pPr>
        <w:pStyle w:val="34"/>
        <w:pageBreakBefore w:val="0"/>
        <w:widowControl/>
        <w:numPr>
          <w:ilvl w:val="0"/>
          <w:numId w:val="15"/>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标的名称：</w:t>
      </w:r>
      <w:r>
        <w:rPr>
          <w:rFonts w:hint="eastAsia" w:ascii="仿宋" w:hAnsi="仿宋" w:eastAsia="仿宋" w:cs="仿宋"/>
          <w:sz w:val="28"/>
          <w:szCs w:val="28"/>
          <w:highlight w:val="none"/>
          <w:u w:val="single"/>
          <w:lang w:val="en-US" w:eastAsia="zh-CN"/>
        </w:rPr>
        <w:t>无分包</w:t>
      </w:r>
    </w:p>
    <w:p w14:paraId="3C7917B8">
      <w:pPr>
        <w:pStyle w:val="34"/>
        <w:pageBreakBefore w:val="0"/>
        <w:widowControl/>
        <w:numPr>
          <w:ilvl w:val="0"/>
          <w:numId w:val="15"/>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数量：</w:t>
      </w:r>
      <w:r>
        <w:rPr>
          <w:rFonts w:hint="eastAsia" w:ascii="仿宋" w:hAnsi="仿宋" w:eastAsia="仿宋" w:cs="仿宋"/>
          <w:color w:val="000000"/>
          <w:sz w:val="28"/>
          <w:szCs w:val="28"/>
          <w:highlight w:val="none"/>
          <w:u w:val="single"/>
        </w:rPr>
        <w:t>1</w:t>
      </w:r>
      <w:r>
        <w:rPr>
          <w:rFonts w:hint="eastAsia" w:ascii="仿宋" w:hAnsi="仿宋" w:eastAsia="仿宋" w:cs="仿宋"/>
          <w:color w:val="000000"/>
          <w:sz w:val="28"/>
          <w:szCs w:val="28"/>
          <w:highlight w:val="none"/>
          <w:u w:val="single"/>
          <w:lang w:val="en-US" w:eastAsia="zh-CN"/>
        </w:rPr>
        <w:t>批</w:t>
      </w:r>
    </w:p>
    <w:p w14:paraId="026C9940">
      <w:pPr>
        <w:pStyle w:val="34"/>
        <w:pageBreakBefore w:val="0"/>
        <w:widowControl/>
        <w:numPr>
          <w:ilvl w:val="0"/>
          <w:numId w:val="15"/>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是否进口产品：</w:t>
      </w:r>
      <w:r>
        <w:rPr>
          <w:rFonts w:hint="eastAsia" w:ascii="仿宋" w:hAnsi="仿宋" w:eastAsia="仿宋" w:cs="仿宋"/>
          <w:color w:val="000000"/>
          <w:sz w:val="28"/>
          <w:szCs w:val="28"/>
          <w:highlight w:val="none"/>
          <w:u w:val="none"/>
          <w:lang w:val="en-US" w:eastAsia="zh-CN"/>
        </w:rPr>
        <w:t>/</w:t>
      </w:r>
    </w:p>
    <w:p w14:paraId="01749522">
      <w:pPr>
        <w:pStyle w:val="34"/>
        <w:pageBreakBefore w:val="0"/>
        <w:widowControl/>
        <w:kinsoku/>
        <w:wordWrap/>
        <w:overflowPunct/>
        <w:topLinePunct w:val="0"/>
        <w:autoSpaceDE/>
        <w:autoSpaceDN/>
        <w:bidi w:val="0"/>
        <w:adjustRightInd/>
        <w:spacing w:before="0" w:after="0" w:afterLines="0" w:line="360" w:lineRule="auto"/>
        <w:ind w:lef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注：采购进口产品需报财政部门核准。</w:t>
      </w:r>
    </w:p>
    <w:p w14:paraId="1E11C2BC">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采购方式：</w:t>
      </w:r>
    </w:p>
    <w:p w14:paraId="766F5E9D">
      <w:pPr>
        <w:pStyle w:val="21"/>
        <w:keepNext w:val="0"/>
        <w:keepLines w:val="0"/>
        <w:pageBreakBefore w:val="0"/>
        <w:kinsoku/>
        <w:wordWrap/>
        <w:overflowPunct/>
        <w:topLinePunct w:val="0"/>
        <w:autoSpaceDE/>
        <w:autoSpaceDN/>
        <w:bidi w:val="0"/>
        <w:adjustRightInd/>
        <w:spacing w:beforeAutospacing="0" w:afterAutospacing="0" w:line="360" w:lineRule="auto"/>
        <w:ind w:left="0" w:lef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公开招标</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lang w:val="en-US" w:eastAsia="zh-CN"/>
        </w:rPr>
        <w:t>邀请招标</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highlight w:val="none"/>
          <w:lang w:val="en-US" w:eastAsia="zh-CN"/>
        </w:rPr>
        <w:t> 竞争性谈判</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highlight w:val="none"/>
          <w:lang w:val="en-US" w:eastAsia="zh-CN"/>
        </w:rPr>
        <w:t xml:space="preserve"> </w:t>
      </w:r>
    </w:p>
    <w:p w14:paraId="4012B747">
      <w:pPr>
        <w:pStyle w:val="21"/>
        <w:keepNext w:val="0"/>
        <w:keepLines w:val="0"/>
        <w:pageBreakBefore w:val="0"/>
        <w:kinsoku/>
        <w:wordWrap/>
        <w:overflowPunct/>
        <w:topLinePunct w:val="0"/>
        <w:autoSpaceDE/>
        <w:autoSpaceDN/>
        <w:bidi w:val="0"/>
        <w:adjustRightInd/>
        <w:spacing w:beforeAutospacing="0" w:afterAutospacing="0" w:line="360" w:lineRule="auto"/>
        <w:ind w:left="0" w:leftChars="0"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lang w:val="en-US" w:eastAsia="zh-CN"/>
        </w:rPr>
        <w:t>单一来源</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highlight w:val="none"/>
          <w:lang w:val="en-US" w:eastAsia="zh-CN"/>
        </w:rPr>
        <w:t></w:t>
      </w:r>
    </w:p>
    <w:p w14:paraId="51D2075B">
      <w:pPr>
        <w:pStyle w:val="34"/>
        <w:pageBreakBefore w:val="0"/>
        <w:widowControl/>
        <w:kinsoku/>
        <w:wordWrap/>
        <w:overflowPunct/>
        <w:topLinePunct w:val="0"/>
        <w:autoSpaceDE/>
        <w:autoSpaceDN/>
        <w:bidi w:val="0"/>
        <w:adjustRightInd/>
        <w:spacing w:before="0" w:after="0" w:afterLines="0" w:line="360" w:lineRule="auto"/>
        <w:ind w:lef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理由：</w:t>
      </w:r>
      <w:r>
        <w:rPr>
          <w:rFonts w:hint="eastAsia" w:ascii="仿宋" w:hAnsi="仿宋" w:eastAsia="仿宋" w:cs="仿宋"/>
          <w:color w:val="auto"/>
          <w:sz w:val="28"/>
          <w:szCs w:val="28"/>
          <w:highlight w:val="none"/>
          <w:lang w:val="en-US" w:eastAsia="zh-CN"/>
        </w:rPr>
        <w:t>根据贵州省人民政府办公厅文件-黔府办发〔2020〕35号(省人民政府办公厅关于印发贵州省政府集中采购目录及限额标准(2021年版）的通知，政府采购货物或服务项目，单项采购金额200万元以上(含200万元)的采用公开招标方式。低于200万元的，可采用竞争性谈判、询价、竞争性磋商、单一来源等采购方式进行采购。</w:t>
      </w:r>
    </w:p>
    <w:p w14:paraId="1C078193">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资格条件</w:t>
      </w:r>
    </w:p>
    <w:p w14:paraId="04A0C57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符合政府采购法第二十二条规定，提供政府采购法实施条例第十七条规定资料</w:t>
      </w:r>
      <w:r>
        <w:rPr>
          <w:rFonts w:hint="eastAsia" w:ascii="仿宋" w:hAnsi="仿宋" w:eastAsia="仿宋" w:cs="仿宋"/>
          <w:color w:val="auto"/>
          <w:sz w:val="28"/>
          <w:szCs w:val="28"/>
          <w:highlight w:val="none"/>
          <w:lang w:eastAsia="zh-CN"/>
        </w:rPr>
        <w:t>：</w:t>
      </w:r>
    </w:p>
    <w:p w14:paraId="7D22392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A.</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应在中华人民共和国依法注册，具有独立承担民事责任的能力：</w:t>
      </w:r>
    </w:p>
    <w:p w14:paraId="0EEF1539">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具体要求：</w:t>
      </w:r>
      <w:r>
        <w:rPr>
          <w:rFonts w:hint="eastAsia" w:ascii="仿宋" w:hAnsi="仿宋" w:eastAsia="仿宋" w:cs="仿宋"/>
          <w:color w:val="auto"/>
          <w:sz w:val="28"/>
          <w:szCs w:val="28"/>
          <w:highlight w:val="none"/>
          <w:lang w:val="en-US" w:eastAsia="zh-CN"/>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w:t>
      </w:r>
      <w:bookmarkStart w:id="9" w:name="_Toc13231"/>
      <w:bookmarkStart w:id="10" w:name="_Toc16852"/>
      <w:bookmarkStart w:id="11" w:name="_Toc26790"/>
      <w:r>
        <w:rPr>
          <w:rFonts w:hint="eastAsia" w:ascii="仿宋" w:hAnsi="仿宋" w:eastAsia="仿宋" w:cs="仿宋"/>
          <w:color w:val="auto"/>
          <w:sz w:val="28"/>
          <w:szCs w:val="28"/>
          <w:highlight w:val="none"/>
          <w:lang w:val="en-US" w:eastAsia="zh-CN"/>
        </w:rPr>
        <w:t>分支机构参加响应的，应提供该分支机构或其所属法人/其他组织的相应证明文件；同时还应提供其所属法人/其他组织出具的授权其参与本项目的授权书（格式自拟，须加盖其所属法人/其他组织的公章）；</w:t>
      </w:r>
      <w:bookmarkEnd w:id="9"/>
      <w:bookmarkStart w:id="12" w:name="_Toc23443"/>
      <w:r>
        <w:rPr>
          <w:rFonts w:hint="eastAsia" w:ascii="仿宋" w:hAnsi="仿宋" w:eastAsia="仿宋" w:cs="仿宋"/>
          <w:color w:val="auto"/>
          <w:sz w:val="28"/>
          <w:szCs w:val="28"/>
          <w:highlight w:val="none"/>
          <w:lang w:val="en-US" w:eastAsia="zh-CN"/>
        </w:rPr>
        <w:t>对于银行、保险、石油石化、电力、电信等行业的分支机构，可以提供上述授权，也可以提供其所属法人/其他组织的有关文件或制度等能够证明授权其独立开展业务的证明材料</w:t>
      </w:r>
      <w:bookmarkEnd w:id="10"/>
      <w:bookmarkEnd w:id="11"/>
      <w:bookmarkEnd w:id="12"/>
      <w:r>
        <w:rPr>
          <w:rFonts w:hint="eastAsia" w:ascii="仿宋" w:hAnsi="仿宋" w:eastAsia="仿宋" w:cs="仿宋"/>
          <w:sz w:val="28"/>
          <w:szCs w:val="28"/>
          <w:highlight w:val="none"/>
          <w:lang w:eastAsia="zh-CN"/>
        </w:rPr>
        <w:t>。</w:t>
      </w:r>
    </w:p>
    <w:p w14:paraId="075412E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具有良好的商业信誉和健全的财务会计制度：</w:t>
      </w:r>
    </w:p>
    <w:p w14:paraId="22D796A5">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具体要求：</w:t>
      </w:r>
      <w:r>
        <w:rPr>
          <w:rFonts w:hint="eastAsia" w:ascii="仿宋" w:hAnsi="仿宋" w:eastAsia="仿宋" w:cs="仿宋"/>
          <w:color w:val="auto"/>
          <w:sz w:val="28"/>
          <w:szCs w:val="28"/>
          <w:highlight w:val="none"/>
          <w:lang w:val="en-US" w:eastAsia="zh-CN"/>
        </w:rPr>
        <w:t>提供2024年度经有资质的会计师事务所或审计机构出具的完整的审计报告（含三表一附注）。审计报告应盖有会计师事务所单位章和注册会计师的执业专用章，并附会计师事务所的营业执照及执业证书复印件或扫描件；或提供2025年1月至响应文件提交截止之日前由</w:t>
      </w:r>
      <w:r>
        <w:rPr>
          <w:rFonts w:hint="eastAsia" w:ascii="仿宋" w:hAnsi="仿宋" w:eastAsia="仿宋" w:cs="仿宋"/>
          <w:color w:val="auto"/>
          <w:sz w:val="28"/>
          <w:szCs w:val="28"/>
          <w:highlight w:val="none"/>
          <w:lang w:eastAsia="zh-CN"/>
        </w:rPr>
        <w:t>基本开户银行或一般账户开户行等其他对公账户银行</w:t>
      </w:r>
      <w:r>
        <w:rPr>
          <w:rFonts w:hint="eastAsia" w:ascii="仿宋" w:hAnsi="仿宋" w:eastAsia="仿宋" w:cs="仿宋"/>
          <w:color w:val="auto"/>
          <w:sz w:val="28"/>
          <w:szCs w:val="28"/>
          <w:highlight w:val="none"/>
          <w:lang w:val="en-US" w:eastAsia="zh-CN"/>
        </w:rPr>
        <w:t>出具的资信证明。</w:t>
      </w:r>
    </w:p>
    <w:p w14:paraId="6FF2E113">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C.</w:t>
      </w:r>
      <w:r>
        <w:rPr>
          <w:rFonts w:hint="eastAsia" w:ascii="仿宋" w:hAnsi="仿宋" w:eastAsia="仿宋" w:cs="仿宋"/>
          <w:color w:val="auto"/>
          <w:sz w:val="28"/>
          <w:szCs w:val="28"/>
          <w:highlight w:val="none"/>
        </w:rPr>
        <w:t>具有履行合同所必需的设备和专业技术能力：</w:t>
      </w:r>
    </w:p>
    <w:p w14:paraId="1318D4F4">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具体要求：提供具备履行合同所需的设备和专业技术能力的书面承诺（承诺函格式自拟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w:t>
      </w:r>
      <w:r>
        <w:rPr>
          <w:rFonts w:hint="eastAsia" w:ascii="仿宋" w:hAnsi="仿宋" w:eastAsia="仿宋" w:cs="仿宋"/>
          <w:sz w:val="28"/>
          <w:szCs w:val="28"/>
          <w:highlight w:val="none"/>
          <w:lang w:val="en-US" w:eastAsia="zh-CN"/>
        </w:rPr>
        <w:t>供应商</w:t>
      </w:r>
      <w:r>
        <w:rPr>
          <w:rFonts w:hint="eastAsia" w:ascii="仿宋" w:hAnsi="仿宋" w:eastAsia="仿宋" w:cs="仿宋"/>
          <w:color w:val="auto"/>
          <w:sz w:val="28"/>
          <w:szCs w:val="28"/>
          <w:highlight w:val="none"/>
          <w:lang w:val="en-US" w:eastAsia="zh-CN"/>
        </w:rPr>
        <w:t>公章</w:t>
      </w:r>
      <w:r>
        <w:rPr>
          <w:rFonts w:hint="eastAsia" w:ascii="仿宋" w:hAnsi="仿宋" w:eastAsia="仿宋" w:cs="仿宋"/>
          <w:color w:val="auto"/>
          <w:sz w:val="28"/>
          <w:szCs w:val="28"/>
          <w:highlight w:val="none"/>
        </w:rPr>
        <w:t>）。</w:t>
      </w:r>
    </w:p>
    <w:p w14:paraId="2F29FCEC">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D.</w:t>
      </w:r>
      <w:r>
        <w:rPr>
          <w:rFonts w:hint="eastAsia" w:ascii="仿宋" w:hAnsi="仿宋" w:eastAsia="仿宋" w:cs="仿宋"/>
          <w:color w:val="auto"/>
          <w:sz w:val="28"/>
          <w:szCs w:val="28"/>
          <w:highlight w:val="none"/>
        </w:rPr>
        <w:t>有依法缴纳税收和社会保障资金的良好记录：</w:t>
      </w:r>
    </w:p>
    <w:p w14:paraId="620E4E86">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具体要求：</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月至投标截止时间</w:t>
      </w:r>
      <w:r>
        <w:rPr>
          <w:rFonts w:hint="eastAsia" w:ascii="仿宋" w:hAnsi="仿宋" w:eastAsia="仿宋" w:cs="仿宋"/>
          <w:sz w:val="28"/>
          <w:szCs w:val="28"/>
          <w:highlight w:val="none"/>
          <w:lang w:val="en-US" w:eastAsia="zh-CN"/>
        </w:rPr>
        <w:t>期间</w:t>
      </w:r>
      <w:r>
        <w:rPr>
          <w:rFonts w:hint="eastAsia" w:ascii="仿宋" w:hAnsi="仿宋" w:eastAsia="仿宋" w:cs="仿宋"/>
          <w:sz w:val="28"/>
          <w:szCs w:val="28"/>
          <w:highlight w:val="none"/>
        </w:rPr>
        <w:t>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个月依法缴纳税收的凭证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未发生缴税情况的，须提供零申报证明，即提供企业自行在网上申报系统中打印的已申报报表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依法免税的，须提供企业所在地税务部门出具的相应证明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月至投标截止时间</w:t>
      </w:r>
      <w:r>
        <w:rPr>
          <w:rFonts w:hint="eastAsia" w:ascii="仿宋" w:hAnsi="仿宋" w:eastAsia="仿宋" w:cs="仿宋"/>
          <w:sz w:val="28"/>
          <w:szCs w:val="28"/>
          <w:highlight w:val="none"/>
          <w:lang w:val="en-US" w:eastAsia="zh-CN"/>
        </w:rPr>
        <w:t>期间</w:t>
      </w:r>
      <w:r>
        <w:rPr>
          <w:rFonts w:hint="eastAsia" w:ascii="仿宋" w:hAnsi="仿宋" w:eastAsia="仿宋" w:cs="仿宋"/>
          <w:sz w:val="28"/>
          <w:szCs w:val="28"/>
          <w:highlight w:val="none"/>
        </w:rPr>
        <w:t>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个月依法缴纳社会保障资金的凭证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以加盖社保机构公章的社保资金收据凭证或加盖社保机构公章的本单位社保缴纳花名册或向税务机关缴纳社保费的完税证明或加盖社保机构公章的其他社保</w:t>
      </w:r>
      <w:r>
        <w:rPr>
          <w:rFonts w:hint="eastAsia" w:ascii="仿宋" w:hAnsi="仿宋" w:eastAsia="仿宋" w:cs="仿宋"/>
          <w:sz w:val="28"/>
          <w:szCs w:val="28"/>
          <w:highlight w:val="none"/>
          <w:lang w:eastAsia="zh-CN"/>
        </w:rPr>
        <w:t>缴纳</w:t>
      </w:r>
      <w:r>
        <w:rPr>
          <w:rFonts w:hint="eastAsia" w:ascii="仿宋" w:hAnsi="仿宋" w:eastAsia="仿宋" w:cs="仿宋"/>
          <w:sz w:val="28"/>
          <w:szCs w:val="28"/>
          <w:highlight w:val="none"/>
        </w:rPr>
        <w:t>证明为准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加盖供应商公章</w:t>
      </w:r>
      <w:r>
        <w:rPr>
          <w:rFonts w:hint="eastAsia" w:ascii="仿宋" w:hAnsi="仿宋" w:eastAsia="仿宋" w:cs="仿宋"/>
          <w:sz w:val="28"/>
          <w:szCs w:val="28"/>
          <w:highlight w:val="none"/>
          <w:lang w:eastAsia="zh-CN"/>
        </w:rPr>
        <w:t>）。</w:t>
      </w:r>
    </w:p>
    <w:p w14:paraId="7358F1CB">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E.</w:t>
      </w:r>
      <w:r>
        <w:rPr>
          <w:rFonts w:hint="eastAsia" w:ascii="仿宋" w:hAnsi="仿宋" w:eastAsia="仿宋" w:cs="仿宋"/>
          <w:color w:val="auto"/>
          <w:sz w:val="28"/>
          <w:szCs w:val="28"/>
          <w:highlight w:val="none"/>
        </w:rPr>
        <w:t>参加本次政府采购活动前三年内，在经营活动中没有重大违法记录：</w:t>
      </w:r>
    </w:p>
    <w:p w14:paraId="747D8FE7">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具体要求：提供参加政府采购活动前</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年内在经营活动中没有重大违法记录的书面声明</w:t>
      </w:r>
      <w:r>
        <w:rPr>
          <w:rFonts w:hint="eastAsia" w:ascii="仿宋" w:hAnsi="仿宋" w:eastAsia="仿宋" w:cs="仿宋"/>
          <w:sz w:val="28"/>
          <w:szCs w:val="28"/>
          <w:highlight w:val="none"/>
        </w:rPr>
        <w:t>（重大违法记录是指</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因违法经营受到刑事处罚或者责令停产停业、吊销许可证或者执照、较大数额罚款等行政处罚）</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格式附后</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加盖供应商公章</w:t>
      </w:r>
      <w:r>
        <w:rPr>
          <w:rFonts w:hint="eastAsia" w:ascii="仿宋" w:hAnsi="仿宋" w:eastAsia="仿宋" w:cs="仿宋"/>
          <w:color w:val="auto"/>
          <w:sz w:val="28"/>
          <w:szCs w:val="28"/>
          <w:highlight w:val="none"/>
        </w:rPr>
        <w:t>）。</w:t>
      </w:r>
    </w:p>
    <w:p w14:paraId="6176631E">
      <w:pPr>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F.</w:t>
      </w:r>
      <w:r>
        <w:rPr>
          <w:rFonts w:hint="eastAsia" w:ascii="仿宋" w:hAnsi="仿宋" w:eastAsia="仿宋" w:cs="仿宋"/>
          <w:color w:val="auto"/>
          <w:sz w:val="28"/>
          <w:szCs w:val="28"/>
          <w:highlight w:val="none"/>
        </w:rPr>
        <w:t>法律、行政法规规定的其他条件：</w:t>
      </w:r>
    </w:p>
    <w:p w14:paraId="0F4C5EB5">
      <w:pPr>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体要求：供应商须承诺：在“信用中国”网站（www.creditchina.gov.cn）未被列入“失信被执行人”和“重大税收违法失信主体”名单，在“中国政府采购网”(www.ccgp.gov.cn)未被列入“政府采购严重违法失信行为记录名单”，如被列入失信被执行人、重大税收违法失信主体、政府采购严重违法失信行为记录名单中的供应商取消其投标资格，并承担由此造成的一切法律责任及后果。（格式附后，加盖供应商公章）。</w:t>
      </w:r>
    </w:p>
    <w:p w14:paraId="205C5FCA">
      <w:pPr>
        <w:pStyle w:val="34"/>
        <w:pageBreakBefore w:val="0"/>
        <w:widowControl/>
        <w:numPr>
          <w:ilvl w:val="0"/>
          <w:numId w:val="0"/>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u w:val="singl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所需特殊行业资质或要求：</w:t>
      </w:r>
      <w:r>
        <w:rPr>
          <w:rFonts w:hint="eastAsia" w:ascii="仿宋" w:hAnsi="仿宋" w:eastAsia="仿宋" w:cs="仿宋"/>
          <w:color w:val="000000"/>
          <w:sz w:val="28"/>
          <w:szCs w:val="28"/>
          <w:highlight w:val="none"/>
          <w:u w:val="single"/>
          <w:lang w:val="en-US" w:eastAsia="zh-CN"/>
        </w:rPr>
        <w:t>无。</w:t>
      </w:r>
    </w:p>
    <w:p w14:paraId="7EF1FFF7">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本项目□接受☑不接受 联合体投标 (可在括号中进行补充说明)</w:t>
      </w:r>
    </w:p>
    <w:p w14:paraId="0DBBC52A">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本项目</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是</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否 专门面向中小微企业采购。(本项目不属于专门面向中小微企业预留采购份额的项目，原因和情形为：按照《政府采购促进中小企业发展管理办法》规定预留采购份额无法确保充分供应、充分竞争，或者存在可能影响政府采购目标实现的情形。)</w:t>
      </w:r>
    </w:p>
    <w:p w14:paraId="11918697">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行业划分：按照《中小企业划型标准规定》（工信部联企业〔2011〕300 号）本项目所属行业为</w:t>
      </w:r>
      <w:r>
        <w:rPr>
          <w:rFonts w:hint="eastAsia" w:ascii="仿宋" w:hAnsi="仿宋" w:eastAsia="仿宋" w:cs="仿宋"/>
          <w:color w:val="000000"/>
          <w:sz w:val="28"/>
          <w:szCs w:val="28"/>
          <w:highlight w:val="none"/>
          <w:u w:val="single"/>
        </w:rPr>
        <w:t>“未列明行业”</w:t>
      </w:r>
      <w:r>
        <w:rPr>
          <w:rFonts w:hint="eastAsia" w:ascii="仿宋" w:hAnsi="仿宋" w:eastAsia="仿宋" w:cs="仿宋"/>
          <w:color w:val="000000"/>
          <w:sz w:val="28"/>
          <w:szCs w:val="28"/>
          <w:highlight w:val="none"/>
        </w:rPr>
        <w:t>。</w:t>
      </w:r>
    </w:p>
    <w:p w14:paraId="444B9EFA">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竞争范围：</w:t>
      </w:r>
      <w:r>
        <w:rPr>
          <w:rFonts w:hint="eastAsia" w:ascii="仿宋" w:hAnsi="仿宋" w:eastAsia="仿宋" w:cs="仿宋"/>
          <w:sz w:val="28"/>
          <w:szCs w:val="28"/>
          <w:highlight w:val="none"/>
        </w:rPr>
        <w:t>竞争较充分，不存在唯一</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的情形。</w:t>
      </w:r>
    </w:p>
    <w:p w14:paraId="2F725D1D">
      <w:pPr>
        <w:pStyle w:val="34"/>
        <w:pageBreakBefore w:val="0"/>
        <w:widowControl/>
        <w:numPr>
          <w:ilvl w:val="0"/>
          <w:numId w:val="14"/>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评审规则（评审方法、评审因素、价格权重等）</w:t>
      </w:r>
    </w:p>
    <w:p w14:paraId="4F44C1E5">
      <w:pPr>
        <w:pStyle w:val="34"/>
        <w:pageBreakBefore w:val="0"/>
        <w:widowControl/>
        <w:numPr>
          <w:ilvl w:val="0"/>
          <w:numId w:val="16"/>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sz w:val="28"/>
          <w:szCs w:val="28"/>
          <w:highlight w:val="none"/>
        </w:rPr>
      </w:pPr>
      <w:bookmarkStart w:id="13" w:name="br1_13"/>
      <w:bookmarkEnd w:id="13"/>
      <w:r>
        <w:rPr>
          <w:rFonts w:hint="eastAsia" w:ascii="仿宋" w:hAnsi="仿宋" w:eastAsia="仿宋" w:cs="仿宋"/>
          <w:sz w:val="28"/>
          <w:szCs w:val="28"/>
          <w:highlight w:val="none"/>
        </w:rPr>
        <w:t>评标办法</w:t>
      </w:r>
    </w:p>
    <w:p w14:paraId="55B4D9B4">
      <w:pPr>
        <w:keepNext w:val="0"/>
        <w:keepLines w:val="0"/>
        <w:pageBreakBefore w:val="0"/>
        <w:kinsoku/>
        <w:wordWrap/>
        <w:overflowPunct/>
        <w:topLinePunct w:val="0"/>
        <w:autoSpaceDE/>
        <w:autoSpaceDN/>
        <w:bidi w:val="0"/>
        <w:adjustRightInd/>
        <w:spacing w:beforeAutospacing="0" w:afterAutospacing="0" w:line="360" w:lineRule="auto"/>
        <w:ind w:left="0" w:firstLine="560" w:firstLineChars="200"/>
        <w:jc w:val="both"/>
        <w:rPr>
          <w:rFonts w:ascii="仿宋" w:hAnsi="仿宋" w:eastAsia="仿宋" w:cs="仿宋"/>
          <w:sz w:val="28"/>
          <w:szCs w:val="28"/>
          <w:highlight w:val="none"/>
        </w:rPr>
      </w:pPr>
      <w:r>
        <w:rPr>
          <w:rFonts w:hint="eastAsia" w:ascii="仿宋" w:hAnsi="仿宋" w:eastAsia="仿宋" w:cs="仿宋"/>
          <w:sz w:val="28"/>
          <w:szCs w:val="28"/>
          <w:highlight w:val="none"/>
        </w:rPr>
        <w:t>本项目采用</w:t>
      </w:r>
      <w:r>
        <w:rPr>
          <w:rFonts w:hint="eastAsia" w:ascii="仿宋" w:hAnsi="仿宋" w:eastAsia="仿宋" w:cs="仿宋"/>
          <w:sz w:val="28"/>
          <w:szCs w:val="28"/>
          <w:highlight w:val="none"/>
          <w:u w:val="single"/>
        </w:rPr>
        <w:t>综合评分法</w:t>
      </w:r>
      <w:r>
        <w:rPr>
          <w:rFonts w:hint="eastAsia" w:ascii="仿宋" w:hAnsi="仿宋" w:eastAsia="仿宋" w:cs="仿宋"/>
          <w:sz w:val="28"/>
          <w:szCs w:val="28"/>
          <w:highlight w:val="none"/>
        </w:rPr>
        <w:t>进行评审。</w:t>
      </w:r>
    </w:p>
    <w:p w14:paraId="7B101BE3">
      <w:pPr>
        <w:pStyle w:val="34"/>
        <w:pageBreakBefore w:val="0"/>
        <w:widowControl/>
        <w:kinsoku/>
        <w:wordWrap/>
        <w:overflowPunct/>
        <w:topLinePunct w:val="0"/>
        <w:autoSpaceDE/>
        <w:autoSpaceDN/>
        <w:bidi w:val="0"/>
        <w:adjustRightInd/>
        <w:spacing w:before="0" w:after="0" w:afterLines="0" w:line="360" w:lineRule="auto"/>
        <w:ind w:left="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综合评分法，是指响应文件满足采购文件全部实质性要求，且按照评审因素的量化指标评审得分最高的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为中标候选人的评标方法。采用综合评分法的，评标结果按评审后得分由高到低顺序排列。得分相同的，按投标报价由低到高顺序排列。得分且投标报价相同的并列。响应文件满足采购文件全部实质性要求，且按照评审因素的量化指标评审得分最高的</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为排名第一的中标候选人。</w:t>
      </w:r>
    </w:p>
    <w:p w14:paraId="7169665D">
      <w:pPr>
        <w:pStyle w:val="34"/>
        <w:pageBreakBefore w:val="0"/>
        <w:widowControl/>
        <w:numPr>
          <w:ilvl w:val="0"/>
          <w:numId w:val="16"/>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sz w:val="28"/>
          <w:szCs w:val="28"/>
          <w:highlight w:val="none"/>
        </w:rPr>
      </w:pPr>
      <w:bookmarkStart w:id="14" w:name="_bookmark14"/>
      <w:bookmarkEnd w:id="14"/>
      <w:r>
        <w:rPr>
          <w:rFonts w:hint="eastAsia" w:ascii="仿宋" w:hAnsi="仿宋" w:eastAsia="仿宋" w:cs="仿宋"/>
          <w:sz w:val="28"/>
          <w:szCs w:val="28"/>
          <w:highlight w:val="none"/>
        </w:rPr>
        <w:t>评分标准</w:t>
      </w:r>
    </w:p>
    <w:p w14:paraId="18D3578C">
      <w:pPr>
        <w:pStyle w:val="34"/>
        <w:pageBreakBefore w:val="0"/>
        <w:widowControl/>
        <w:numPr>
          <w:ilvl w:val="0"/>
          <w:numId w:val="17"/>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评分因素</w:t>
      </w:r>
    </w:p>
    <w:p w14:paraId="666F0F3F">
      <w:pPr>
        <w:pStyle w:val="34"/>
        <w:pageBreakBefore w:val="0"/>
        <w:widowControl/>
        <w:kinsoku/>
        <w:wordWrap/>
        <w:overflowPunct/>
        <w:topLinePunct w:val="0"/>
        <w:autoSpaceDE/>
        <w:autoSpaceDN/>
        <w:bidi w:val="0"/>
        <w:adjustRightInd/>
        <w:spacing w:before="0" w:after="0" w:afterLines="0" w:line="360" w:lineRule="auto"/>
        <w:ind w:left="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评分的主要因素分为价格因素、主观因素、客观因素、信用因素。具体内容 详见评分表。评标分值保留至两位小数。评标时，</w:t>
      </w:r>
      <w:r>
        <w:rPr>
          <w:rFonts w:hint="eastAsia" w:ascii="仿宋" w:hAnsi="仿宋" w:eastAsia="仿宋" w:cs="仿宋"/>
          <w:sz w:val="28"/>
          <w:szCs w:val="28"/>
          <w:highlight w:val="none"/>
          <w:lang w:eastAsia="zh-CN"/>
        </w:rPr>
        <w:t>磋商小组</w:t>
      </w:r>
      <w:r>
        <w:rPr>
          <w:rFonts w:hint="eastAsia" w:ascii="仿宋" w:hAnsi="仿宋" w:eastAsia="仿宋" w:cs="仿宋"/>
          <w:sz w:val="28"/>
          <w:szCs w:val="28"/>
          <w:highlight w:val="none"/>
        </w:rPr>
        <w:t>依照评分表对每个有效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的响应文件进行独立评审、打分。</w:t>
      </w:r>
    </w:p>
    <w:p w14:paraId="0D2931EE">
      <w:pPr>
        <w:pStyle w:val="34"/>
        <w:pageBreakBefore w:val="0"/>
        <w:widowControl/>
        <w:numPr>
          <w:ilvl w:val="0"/>
          <w:numId w:val="17"/>
        </w:numPr>
        <w:kinsoku/>
        <w:wordWrap/>
        <w:overflowPunct/>
        <w:topLinePunct w:val="0"/>
        <w:autoSpaceDE/>
        <w:autoSpaceDN/>
        <w:bidi w:val="0"/>
        <w:adjustRightInd/>
        <w:spacing w:before="0" w:after="0" w:afterLines="0" w:line="360" w:lineRule="auto"/>
        <w:ind w:left="0" w:leftChars="0" w:firstLine="560"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评分标准</w:t>
      </w:r>
    </w:p>
    <w:p w14:paraId="70A2C621">
      <w:pPr>
        <w:pStyle w:val="34"/>
        <w:pageBreakBefore w:val="0"/>
        <w:widowControl/>
        <w:numPr>
          <w:ilvl w:val="0"/>
          <w:numId w:val="0"/>
        </w:numPr>
        <w:kinsoku/>
        <w:wordWrap/>
        <w:overflowPunct/>
        <w:topLinePunct w:val="0"/>
        <w:autoSpaceDE/>
        <w:autoSpaceDN/>
        <w:bidi w:val="0"/>
        <w:adjustRightInd/>
        <w:spacing w:before="0" w:after="0" w:afterLines="0" w:line="360" w:lineRule="auto"/>
        <w:ind w:left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资格性审查表：资格审查人负责资格性审查</w:t>
      </w:r>
    </w:p>
    <w:p w14:paraId="7821C062">
      <w:pPr>
        <w:pStyle w:val="34"/>
        <w:pageBreakBefore w:val="0"/>
        <w:widowControl/>
        <w:numPr>
          <w:ilvl w:val="0"/>
          <w:numId w:val="0"/>
        </w:numPr>
        <w:kinsoku/>
        <w:wordWrap/>
        <w:overflowPunct/>
        <w:topLinePunct w:val="0"/>
        <w:autoSpaceDE/>
        <w:autoSpaceDN/>
        <w:bidi w:val="0"/>
        <w:adjustRightInd/>
        <w:spacing w:before="0" w:after="0" w:afterLines="0" w:line="360" w:lineRule="auto"/>
        <w:ind w:left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符合性审查表：评标委员会负责符合性审查</w:t>
      </w:r>
    </w:p>
    <w:p w14:paraId="64661C6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560" w:firstLineChars="200"/>
        <w:rPr>
          <w:rFonts w:hint="eastAsia" w:ascii="仿宋" w:hAnsi="仿宋" w:eastAsia="仿宋" w:cs="仿宋"/>
          <w:sz w:val="28"/>
          <w:szCs w:val="28"/>
          <w:highlight w:val="none"/>
        </w:rPr>
        <w:sectPr>
          <w:footerReference r:id="rId3" w:type="default"/>
          <w:pgSz w:w="11905" w:h="16839"/>
          <w:pgMar w:top="1446" w:right="1785" w:bottom="1446" w:left="1785" w:header="737" w:footer="1077" w:gutter="0"/>
          <w:pgNumType w:fmt="decimal" w:start="1"/>
          <w:cols w:space="720" w:num="1"/>
          <w:docGrid w:linePitch="0" w:charSpace="0"/>
        </w:sectPr>
      </w:pPr>
    </w:p>
    <w:p w14:paraId="1B4CD85A">
      <w:pPr>
        <w:pStyle w:val="118"/>
        <w:widowControl/>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资 格 性 审 查 表</w:t>
      </w:r>
    </w:p>
    <w:tbl>
      <w:tblPr>
        <w:tblStyle w:val="8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1557"/>
        <w:gridCol w:w="9124"/>
        <w:gridCol w:w="910"/>
        <w:gridCol w:w="1001"/>
        <w:gridCol w:w="890"/>
      </w:tblGrid>
      <w:tr w14:paraId="025C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6"/>
            <w:tcBorders>
              <w:top w:val="nil"/>
              <w:left w:val="nil"/>
              <w:bottom w:val="nil"/>
              <w:right w:val="nil"/>
              <w:tl2br w:val="nil"/>
              <w:tr2bl w:val="nil"/>
            </w:tcBorders>
            <w:vAlign w:val="center"/>
          </w:tcPr>
          <w:p w14:paraId="09F7C84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违法人员建库项目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lang w:val="en-US" w:eastAsia="zh-CN"/>
              </w:rPr>
              <w:t>GZHDD-2025-ZC9668</w:t>
            </w:r>
          </w:p>
        </w:tc>
      </w:tr>
      <w:tr w14:paraId="0909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6"/>
            <w:tcBorders>
              <w:top w:val="nil"/>
              <w:left w:val="nil"/>
              <w:bottom w:val="single" w:color="000000" w:sz="4" w:space="0"/>
              <w:right w:val="nil"/>
              <w:tl2br w:val="nil"/>
              <w:tr2bl w:val="nil"/>
            </w:tcBorders>
            <w:vAlign w:val="center"/>
          </w:tcPr>
          <w:p w14:paraId="096CBCA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399415</wp:posOffset>
                      </wp:positionH>
                      <wp:positionV relativeFrom="paragraph">
                        <wp:posOffset>337185</wp:posOffset>
                      </wp:positionV>
                      <wp:extent cx="6734175" cy="1028700"/>
                      <wp:effectExtent l="635" t="4445" r="8890" b="14605"/>
                      <wp:wrapNone/>
                      <wp:docPr id="1" name="直接连接符 1"/>
                      <wp:cNvGraphicFramePr/>
                      <a:graphic xmlns:a="http://schemas.openxmlformats.org/drawingml/2006/main">
                        <a:graphicData uri="http://schemas.microsoft.com/office/word/2010/wordprocessingShape">
                          <wps:wsp>
                            <wps:cNvCnPr/>
                            <wps:spPr>
                              <a:xfrm>
                                <a:off x="0" y="0"/>
                                <a:ext cx="6734175" cy="102870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_x0000_s1026" o:spid="_x0000_s1026" o:spt="20" style="position:absolute;left:0pt;margin-left:31.45pt;margin-top:26.55pt;height:81pt;width:530.25pt;z-index:251660288;mso-width-relative:page;mso-height-relative:page;" filled="f" stroked="t" coordsize="21600,21600" o:gfxdata="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4Rfp/YAAAACgEAAA8AAAAAAAAAAQAgAAAAIgAAAGRycy9kb3ducmV2Lnht&#10;bFBLAQIUABQAAAAIAIdO4kByi2C0MgIAAFsEAAAOAAAAAAAAAAEAIAAAACcBAABkcnMvZTJvRG9j&#10;LnhtbFBLBQYAAAAABgAGAFkBAADLBQAAAAA=&#10;">
                      <v:fill on="f" focussize="0,0"/>
                      <v:stroke color="#000000" joinstyle="round"/>
                      <v:imagedata o:title=""/>
                      <o:lock v:ext="edit" aspectratio="f"/>
                    </v:line>
                  </w:pict>
                </mc:Fallback>
              </mc:AlternateContent>
            </w:r>
            <w:r>
              <w:rPr>
                <w:rFonts w:hint="eastAsia" w:ascii="仿宋" w:hAnsi="仿宋" w:eastAsia="仿宋" w:cs="仿宋"/>
                <w:sz w:val="28"/>
                <w:szCs w:val="28"/>
                <w:highlight w:val="none"/>
              </w:rPr>
              <w:t>评标地点：</w:t>
            </w:r>
            <w:r>
              <w:rPr>
                <w:rFonts w:hint="eastAsia" w:ascii="仿宋" w:hAnsi="仿宋" w:eastAsia="仿宋" w:cs="仿宋"/>
                <w:sz w:val="28"/>
                <w:szCs w:val="28"/>
                <w:highlight w:val="none"/>
                <w:lang w:val="en-US" w:eastAsia="zh-CN"/>
              </w:rPr>
              <w:t>贵阳市公共资源交易中心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评审时间：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5年</w:t>
            </w:r>
            <w:r>
              <w:rPr>
                <w:rFonts w:hint="eastAsia" w:ascii="仿宋" w:hAnsi="仿宋" w:eastAsia="仿宋" w:cs="仿宋"/>
                <w:sz w:val="28"/>
                <w:szCs w:val="28"/>
                <w:highlight w:val="none"/>
              </w:rPr>
              <w:t>XX</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XX</w:t>
            </w:r>
            <w:r>
              <w:rPr>
                <w:rFonts w:hint="eastAsia" w:ascii="仿宋" w:hAnsi="仿宋" w:eastAsia="仿宋" w:cs="仿宋"/>
                <w:sz w:val="28"/>
                <w:szCs w:val="28"/>
                <w:highlight w:val="none"/>
                <w:lang w:val="en-US" w:eastAsia="zh-CN"/>
              </w:rPr>
              <w:t>日</w:t>
            </w:r>
          </w:p>
        </w:tc>
      </w:tr>
      <w:tr w14:paraId="65DDF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245" w:type="pct"/>
            <w:tcBorders>
              <w:tl2br w:val="nil"/>
              <w:tr2bl w:val="nil"/>
            </w:tcBorders>
            <w:vAlign w:val="center"/>
          </w:tcPr>
          <w:p w14:paraId="146FC9F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3766" w:type="pct"/>
            <w:gridSpan w:val="2"/>
            <w:tcBorders>
              <w:tl2br w:val="nil"/>
              <w:tr2bl w:val="nil"/>
            </w:tcBorders>
            <w:vAlign w:val="center"/>
          </w:tcPr>
          <w:p w14:paraId="1792F18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p>
          <w:p w14:paraId="58690A0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资格要求</w:t>
            </w:r>
          </w:p>
        </w:tc>
        <w:tc>
          <w:tcPr>
            <w:tcW w:w="321" w:type="pct"/>
            <w:tcBorders>
              <w:tl2br w:val="nil"/>
              <w:tr2bl w:val="nil"/>
            </w:tcBorders>
            <w:vAlign w:val="center"/>
          </w:tcPr>
          <w:p w14:paraId="36A9B52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1</w:t>
            </w:r>
          </w:p>
        </w:tc>
        <w:tc>
          <w:tcPr>
            <w:tcW w:w="353" w:type="pct"/>
            <w:tcBorders>
              <w:tl2br w:val="nil"/>
              <w:tr2bl w:val="nil"/>
            </w:tcBorders>
            <w:vAlign w:val="center"/>
          </w:tcPr>
          <w:p w14:paraId="75F287C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2</w:t>
            </w:r>
          </w:p>
        </w:tc>
        <w:tc>
          <w:tcPr>
            <w:tcW w:w="312" w:type="pct"/>
            <w:tcBorders>
              <w:tl2br w:val="nil"/>
              <w:tr2bl w:val="nil"/>
            </w:tcBorders>
            <w:vAlign w:val="center"/>
          </w:tcPr>
          <w:p w14:paraId="2B3A0FB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3</w:t>
            </w:r>
          </w:p>
        </w:tc>
      </w:tr>
      <w:tr w14:paraId="35C5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 w:type="pct"/>
            <w:tcBorders>
              <w:tl2br w:val="nil"/>
              <w:tr2bl w:val="nil"/>
            </w:tcBorders>
            <w:vAlign w:val="center"/>
          </w:tcPr>
          <w:p w14:paraId="251AD7B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549" w:type="pct"/>
            <w:vMerge w:val="restart"/>
            <w:tcBorders>
              <w:tl2br w:val="nil"/>
              <w:tr2bl w:val="nil"/>
            </w:tcBorders>
            <w:vAlign w:val="center"/>
          </w:tcPr>
          <w:p w14:paraId="57AC093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经营资格审查</w:t>
            </w:r>
          </w:p>
        </w:tc>
        <w:tc>
          <w:tcPr>
            <w:tcW w:w="3217" w:type="pct"/>
            <w:tcBorders>
              <w:tl2br w:val="nil"/>
              <w:tr2bl w:val="nil"/>
            </w:tcBorders>
            <w:vAlign w:val="center"/>
          </w:tcPr>
          <w:p w14:paraId="3D5EA0D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321" w:type="pct"/>
            <w:tcBorders>
              <w:tl2br w:val="nil"/>
              <w:tr2bl w:val="nil"/>
            </w:tcBorders>
            <w:vAlign w:val="center"/>
          </w:tcPr>
          <w:p w14:paraId="23ADE7C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1AACB4F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0DA502C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5F359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 w:type="pct"/>
            <w:tcBorders>
              <w:tl2br w:val="nil"/>
              <w:tr2bl w:val="nil"/>
            </w:tcBorders>
            <w:vAlign w:val="center"/>
          </w:tcPr>
          <w:p w14:paraId="656D25D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549" w:type="pct"/>
            <w:vMerge w:val="continue"/>
            <w:tcBorders>
              <w:tl2br w:val="nil"/>
              <w:tr2bl w:val="nil"/>
            </w:tcBorders>
            <w:vAlign w:val="center"/>
          </w:tcPr>
          <w:p w14:paraId="5CD4379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p>
        </w:tc>
        <w:tc>
          <w:tcPr>
            <w:tcW w:w="3217" w:type="pct"/>
            <w:tcBorders>
              <w:tl2br w:val="nil"/>
              <w:tr2bl w:val="nil"/>
            </w:tcBorders>
            <w:vAlign w:val="center"/>
          </w:tcPr>
          <w:p w14:paraId="00AC29F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提供2024年度经有资质的会计师事务所或审计机构出具的完整的审计报告（含三表一附注）。审计报告应盖有会计师事务所单位章和注册会计师的执业专用章，并附会计师事务所的营业执照及执业证书复印件或扫描件；或提供2025年1月至响应文件提交截止之日前由</w:t>
            </w:r>
            <w:r>
              <w:rPr>
                <w:rFonts w:hint="eastAsia" w:ascii="仿宋" w:hAnsi="仿宋" w:eastAsia="仿宋" w:cs="仿宋"/>
                <w:sz w:val="28"/>
                <w:szCs w:val="28"/>
                <w:highlight w:val="none"/>
                <w:lang w:eastAsia="zh-CN"/>
              </w:rPr>
              <w:t>基本开户银行或一般账户开户行等其他对公账户银行</w:t>
            </w:r>
            <w:r>
              <w:rPr>
                <w:rFonts w:hint="eastAsia" w:ascii="仿宋" w:hAnsi="仿宋" w:eastAsia="仿宋" w:cs="仿宋"/>
                <w:kern w:val="2"/>
                <w:sz w:val="28"/>
                <w:szCs w:val="28"/>
                <w:highlight w:val="none"/>
                <w:lang w:val="en-US" w:eastAsia="zh-CN" w:bidi="ar-SA"/>
              </w:rPr>
              <w:t>出具的资信证明。</w:t>
            </w:r>
          </w:p>
        </w:tc>
        <w:tc>
          <w:tcPr>
            <w:tcW w:w="321" w:type="pct"/>
            <w:tcBorders>
              <w:tl2br w:val="nil"/>
              <w:tr2bl w:val="nil"/>
            </w:tcBorders>
            <w:vAlign w:val="center"/>
          </w:tcPr>
          <w:p w14:paraId="3829FB3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626013C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7D935DB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29E7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 w:type="pct"/>
            <w:tcBorders>
              <w:tl2br w:val="nil"/>
              <w:tr2bl w:val="nil"/>
            </w:tcBorders>
            <w:vAlign w:val="center"/>
          </w:tcPr>
          <w:p w14:paraId="2716039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549" w:type="pct"/>
            <w:vMerge w:val="continue"/>
            <w:tcBorders>
              <w:tl2br w:val="nil"/>
              <w:tr2bl w:val="nil"/>
            </w:tcBorders>
            <w:vAlign w:val="center"/>
          </w:tcPr>
          <w:p w14:paraId="7678C46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p>
        </w:tc>
        <w:tc>
          <w:tcPr>
            <w:tcW w:w="3217" w:type="pct"/>
            <w:tcBorders>
              <w:tl2br w:val="nil"/>
              <w:tr2bl w:val="nil"/>
            </w:tcBorders>
            <w:vAlign w:val="center"/>
          </w:tcPr>
          <w:p w14:paraId="7013E96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提供具备履行合同所需的设备和专业技术能力的书面承诺（承诺函格式自拟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w:t>
            </w:r>
            <w:r>
              <w:rPr>
                <w:rFonts w:hint="eastAsia" w:ascii="仿宋" w:hAnsi="仿宋" w:eastAsia="仿宋" w:cs="仿宋"/>
                <w:sz w:val="28"/>
                <w:szCs w:val="28"/>
                <w:highlight w:val="none"/>
                <w:lang w:val="en-US" w:eastAsia="zh-CN"/>
              </w:rPr>
              <w:t>供应商</w:t>
            </w:r>
            <w:r>
              <w:rPr>
                <w:rFonts w:hint="eastAsia" w:ascii="仿宋" w:hAnsi="仿宋" w:eastAsia="仿宋" w:cs="仿宋"/>
                <w:color w:val="auto"/>
                <w:sz w:val="28"/>
                <w:szCs w:val="28"/>
                <w:highlight w:val="none"/>
                <w:lang w:val="en-US" w:eastAsia="zh-CN"/>
              </w:rPr>
              <w:t>公章</w:t>
            </w:r>
            <w:r>
              <w:rPr>
                <w:rFonts w:hint="eastAsia" w:ascii="仿宋" w:hAnsi="仿宋" w:eastAsia="仿宋" w:cs="仿宋"/>
                <w:color w:val="auto"/>
                <w:sz w:val="28"/>
                <w:szCs w:val="28"/>
                <w:highlight w:val="none"/>
              </w:rPr>
              <w:t>）。</w:t>
            </w:r>
          </w:p>
        </w:tc>
        <w:tc>
          <w:tcPr>
            <w:tcW w:w="321" w:type="pct"/>
            <w:tcBorders>
              <w:tl2br w:val="nil"/>
              <w:tr2bl w:val="nil"/>
            </w:tcBorders>
            <w:vAlign w:val="center"/>
          </w:tcPr>
          <w:p w14:paraId="59E46B6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766D211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4E1C62A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654B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 w:type="pct"/>
            <w:tcBorders>
              <w:tl2br w:val="nil"/>
              <w:tr2bl w:val="nil"/>
            </w:tcBorders>
            <w:vAlign w:val="center"/>
          </w:tcPr>
          <w:p w14:paraId="1DEE289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549" w:type="pct"/>
            <w:vMerge w:val="continue"/>
            <w:tcBorders>
              <w:tl2br w:val="nil"/>
              <w:tr2bl w:val="nil"/>
            </w:tcBorders>
            <w:vAlign w:val="center"/>
          </w:tcPr>
          <w:p w14:paraId="09F34A9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p>
        </w:tc>
        <w:tc>
          <w:tcPr>
            <w:tcW w:w="3217" w:type="pct"/>
            <w:tcBorders>
              <w:tl2br w:val="nil"/>
              <w:tr2bl w:val="nil"/>
            </w:tcBorders>
            <w:vAlign w:val="center"/>
          </w:tcPr>
          <w:p w14:paraId="315BD071">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月至投标截止时间</w:t>
            </w:r>
            <w:r>
              <w:rPr>
                <w:rFonts w:hint="eastAsia" w:ascii="仿宋" w:hAnsi="仿宋" w:eastAsia="仿宋" w:cs="仿宋"/>
                <w:sz w:val="28"/>
                <w:szCs w:val="28"/>
                <w:highlight w:val="none"/>
                <w:lang w:val="en-US" w:eastAsia="zh-CN"/>
              </w:rPr>
              <w:t>期间</w:t>
            </w:r>
            <w:r>
              <w:rPr>
                <w:rFonts w:hint="eastAsia" w:ascii="仿宋" w:hAnsi="仿宋" w:eastAsia="仿宋" w:cs="仿宋"/>
                <w:sz w:val="28"/>
                <w:szCs w:val="28"/>
                <w:highlight w:val="none"/>
              </w:rPr>
              <w:t>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个月依法缴纳税收的凭证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未发生缴税情况的，须提供零申报证明，即提供企业自行在网上申报系统中打印的已申报报表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依法免税的，须提供企业所在地税务部门出具的相应证明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月至投标截止时间</w:t>
            </w:r>
            <w:r>
              <w:rPr>
                <w:rFonts w:hint="eastAsia" w:ascii="仿宋" w:hAnsi="仿宋" w:eastAsia="仿宋" w:cs="仿宋"/>
                <w:sz w:val="28"/>
                <w:szCs w:val="28"/>
                <w:highlight w:val="none"/>
                <w:lang w:val="en-US" w:eastAsia="zh-CN"/>
              </w:rPr>
              <w:t>期间</w:t>
            </w:r>
            <w:r>
              <w:rPr>
                <w:rFonts w:hint="eastAsia" w:ascii="仿宋" w:hAnsi="仿宋" w:eastAsia="仿宋" w:cs="仿宋"/>
                <w:sz w:val="28"/>
                <w:szCs w:val="28"/>
                <w:highlight w:val="none"/>
              </w:rPr>
              <w:t>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个月依法缴纳社会保障资金的凭证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以加盖社保机构公章的社保资金收据凭证或加盖社保机构公章的本单位社保缴纳花名册或向税务机关缴纳社保费的完税证明或加盖社保机构公章的其他社保</w:t>
            </w:r>
            <w:r>
              <w:rPr>
                <w:rFonts w:hint="eastAsia" w:ascii="仿宋" w:hAnsi="仿宋" w:eastAsia="仿宋" w:cs="仿宋"/>
                <w:sz w:val="28"/>
                <w:szCs w:val="28"/>
                <w:highlight w:val="none"/>
                <w:lang w:eastAsia="zh-CN"/>
              </w:rPr>
              <w:t>缴纳</w:t>
            </w:r>
            <w:r>
              <w:rPr>
                <w:rFonts w:hint="eastAsia" w:ascii="仿宋" w:hAnsi="仿宋" w:eastAsia="仿宋" w:cs="仿宋"/>
                <w:sz w:val="28"/>
                <w:szCs w:val="28"/>
                <w:highlight w:val="none"/>
              </w:rPr>
              <w:t>证明为准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加盖供应商公章</w:t>
            </w:r>
            <w:r>
              <w:rPr>
                <w:rFonts w:hint="eastAsia" w:ascii="仿宋" w:hAnsi="仿宋" w:eastAsia="仿宋" w:cs="仿宋"/>
                <w:sz w:val="28"/>
                <w:szCs w:val="28"/>
                <w:highlight w:val="none"/>
                <w:lang w:eastAsia="zh-CN"/>
              </w:rPr>
              <w:t>）。</w:t>
            </w:r>
          </w:p>
        </w:tc>
        <w:tc>
          <w:tcPr>
            <w:tcW w:w="321" w:type="pct"/>
            <w:tcBorders>
              <w:tl2br w:val="nil"/>
              <w:tr2bl w:val="nil"/>
            </w:tcBorders>
            <w:vAlign w:val="center"/>
          </w:tcPr>
          <w:p w14:paraId="4F282C3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3A51A4F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5EBEE11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715D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5" w:type="pct"/>
            <w:tcBorders>
              <w:tl2br w:val="nil"/>
              <w:tr2bl w:val="nil"/>
            </w:tcBorders>
            <w:vAlign w:val="center"/>
          </w:tcPr>
          <w:p w14:paraId="51BE600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549" w:type="pct"/>
            <w:vMerge w:val="continue"/>
            <w:tcBorders>
              <w:tl2br w:val="nil"/>
              <w:tr2bl w:val="nil"/>
            </w:tcBorders>
            <w:vAlign w:val="center"/>
          </w:tcPr>
          <w:p w14:paraId="345F698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p>
        </w:tc>
        <w:tc>
          <w:tcPr>
            <w:tcW w:w="3217" w:type="pct"/>
            <w:tcBorders>
              <w:tl2br w:val="nil"/>
              <w:tr2bl w:val="nil"/>
            </w:tcBorders>
            <w:vAlign w:val="center"/>
          </w:tcPr>
          <w:p w14:paraId="3E89F67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提供参加</w:t>
            </w:r>
            <w:r>
              <w:rPr>
                <w:rFonts w:hint="eastAsia" w:ascii="仿宋" w:hAnsi="仿宋" w:eastAsia="仿宋" w:cs="仿宋"/>
                <w:color w:val="auto"/>
                <w:sz w:val="28"/>
                <w:szCs w:val="28"/>
                <w:highlight w:val="none"/>
                <w:lang w:val="en-US" w:eastAsia="zh-CN"/>
              </w:rPr>
              <w:t>政府</w:t>
            </w:r>
            <w:r>
              <w:rPr>
                <w:rFonts w:hint="eastAsia" w:ascii="仿宋" w:hAnsi="仿宋" w:eastAsia="仿宋" w:cs="仿宋"/>
                <w:color w:val="auto"/>
                <w:sz w:val="28"/>
                <w:szCs w:val="28"/>
                <w:highlight w:val="none"/>
              </w:rPr>
              <w:t>采购活动前</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年内在经营活动中没有重大违法记录的书面声明</w:t>
            </w:r>
            <w:r>
              <w:rPr>
                <w:rFonts w:hint="eastAsia" w:ascii="仿宋" w:hAnsi="仿宋" w:eastAsia="仿宋" w:cs="仿宋"/>
                <w:sz w:val="28"/>
                <w:szCs w:val="28"/>
                <w:highlight w:val="none"/>
              </w:rPr>
              <w:t>（重大违法记录是指</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因违法经营受到刑事处罚或者责令停产停业、吊销许可证或者执照、较大数额罚款等行政处罚）</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格式附后</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加盖供应商公章</w:t>
            </w:r>
            <w:r>
              <w:rPr>
                <w:rFonts w:hint="eastAsia" w:ascii="仿宋" w:hAnsi="仿宋" w:eastAsia="仿宋" w:cs="仿宋"/>
                <w:color w:val="auto"/>
                <w:sz w:val="28"/>
                <w:szCs w:val="28"/>
                <w:highlight w:val="none"/>
              </w:rPr>
              <w:t>）。</w:t>
            </w:r>
          </w:p>
        </w:tc>
        <w:tc>
          <w:tcPr>
            <w:tcW w:w="321" w:type="pct"/>
            <w:tcBorders>
              <w:tl2br w:val="nil"/>
              <w:tr2bl w:val="nil"/>
            </w:tcBorders>
            <w:vAlign w:val="center"/>
          </w:tcPr>
          <w:p w14:paraId="26B4300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5C7618D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25C2C75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10FB6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245" w:type="pct"/>
            <w:tcBorders>
              <w:tl2br w:val="nil"/>
              <w:tr2bl w:val="nil"/>
            </w:tcBorders>
            <w:vAlign w:val="center"/>
          </w:tcPr>
          <w:p w14:paraId="742A73C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549" w:type="pct"/>
            <w:vMerge w:val="continue"/>
            <w:tcBorders>
              <w:tl2br w:val="nil"/>
              <w:tr2bl w:val="nil"/>
            </w:tcBorders>
            <w:vAlign w:val="center"/>
          </w:tcPr>
          <w:p w14:paraId="0B5CF4D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p>
        </w:tc>
        <w:tc>
          <w:tcPr>
            <w:tcW w:w="3217" w:type="pct"/>
            <w:tcBorders>
              <w:tl2br w:val="nil"/>
              <w:tr2bl w:val="nil"/>
            </w:tcBorders>
            <w:vAlign w:val="center"/>
          </w:tcPr>
          <w:p w14:paraId="3AAD9753">
            <w:pPr>
              <w:pageBreakBefore w:val="0"/>
              <w:widowControl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供应商须承诺：在“信用中国”网站（www.creditchina.gov.cn）未被列入“失信被执行人”和“重大税收违法失信主体”名单，在“中国政府采购网”(www.ccgp.gov.cn)未被列入“政府采购严重违法失信行为记录名单”，如被列入失信被执行人、重大税收违法失信主体、政府采购严重违法失信行为记录名单中的供应商取消其投标资格，并承担由此造成的一切法律责任及后果。（格式附后，加盖供应商公章）。</w:t>
            </w:r>
          </w:p>
        </w:tc>
        <w:tc>
          <w:tcPr>
            <w:tcW w:w="321" w:type="pct"/>
            <w:tcBorders>
              <w:tl2br w:val="nil"/>
              <w:tr2bl w:val="nil"/>
            </w:tcBorders>
            <w:vAlign w:val="center"/>
          </w:tcPr>
          <w:p w14:paraId="57AFF36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08B317F9">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323896F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0ACB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245" w:type="pct"/>
            <w:tcBorders>
              <w:tl2br w:val="nil"/>
              <w:tr2bl w:val="nil"/>
            </w:tcBorders>
            <w:vAlign w:val="center"/>
          </w:tcPr>
          <w:p w14:paraId="3AA68C1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7</w:t>
            </w:r>
          </w:p>
        </w:tc>
        <w:tc>
          <w:tcPr>
            <w:tcW w:w="549" w:type="pct"/>
            <w:tcBorders>
              <w:tl2br w:val="nil"/>
              <w:tr2bl w:val="nil"/>
            </w:tcBorders>
            <w:vAlign w:val="center"/>
          </w:tcPr>
          <w:p w14:paraId="1056710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特殊资格审查</w:t>
            </w:r>
          </w:p>
        </w:tc>
        <w:tc>
          <w:tcPr>
            <w:tcW w:w="3217" w:type="pct"/>
            <w:tcBorders>
              <w:tl2br w:val="nil"/>
              <w:tr2bl w:val="nil"/>
            </w:tcBorders>
            <w:vAlign w:val="center"/>
          </w:tcPr>
          <w:p w14:paraId="5948B46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w:t>
            </w:r>
          </w:p>
        </w:tc>
        <w:tc>
          <w:tcPr>
            <w:tcW w:w="321" w:type="pct"/>
            <w:tcBorders>
              <w:tl2br w:val="nil"/>
              <w:tr2bl w:val="nil"/>
            </w:tcBorders>
            <w:vAlign w:val="center"/>
          </w:tcPr>
          <w:p w14:paraId="6169CB5A">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2A809D4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122BB28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301B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2" w:type="pct"/>
            <w:gridSpan w:val="3"/>
            <w:tcBorders>
              <w:tl2br w:val="nil"/>
              <w:tr2bl w:val="nil"/>
            </w:tcBorders>
            <w:vAlign w:val="center"/>
          </w:tcPr>
          <w:p w14:paraId="7529326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审查结论（通过或不通过）</w:t>
            </w:r>
          </w:p>
        </w:tc>
        <w:tc>
          <w:tcPr>
            <w:tcW w:w="321" w:type="pct"/>
            <w:tcBorders>
              <w:tl2br w:val="nil"/>
              <w:tr2bl w:val="nil"/>
            </w:tcBorders>
            <w:vAlign w:val="center"/>
          </w:tcPr>
          <w:p w14:paraId="7F6C5AA2">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53" w:type="pct"/>
            <w:tcBorders>
              <w:tl2br w:val="nil"/>
              <w:tr2bl w:val="nil"/>
            </w:tcBorders>
            <w:vAlign w:val="center"/>
          </w:tcPr>
          <w:p w14:paraId="22D2A3CE">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c>
          <w:tcPr>
            <w:tcW w:w="312" w:type="pct"/>
            <w:tcBorders>
              <w:tl2br w:val="nil"/>
              <w:tr2bl w:val="nil"/>
            </w:tcBorders>
            <w:vAlign w:val="center"/>
          </w:tcPr>
          <w:p w14:paraId="53962C97">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p>
        </w:tc>
      </w:tr>
      <w:tr w14:paraId="02AE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6"/>
            <w:tcBorders>
              <w:tl2br w:val="nil"/>
              <w:tr2bl w:val="nil"/>
            </w:tcBorders>
            <w:vAlign w:val="center"/>
          </w:tcPr>
          <w:p w14:paraId="434F985C">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资格审查人（签字）：</w:t>
            </w:r>
          </w:p>
        </w:tc>
      </w:tr>
    </w:tbl>
    <w:p w14:paraId="1BABDEF9">
      <w:pPr>
        <w:pStyle w:val="118"/>
        <w:widowControl/>
        <w:rPr>
          <w:rFonts w:hint="eastAsia" w:ascii="仿宋" w:hAnsi="仿宋" w:eastAsia="仿宋" w:cs="仿宋"/>
          <w:sz w:val="28"/>
          <w:szCs w:val="28"/>
          <w:highlight w:val="none"/>
          <w:u w:val="single"/>
        </w:rPr>
      </w:pPr>
    </w:p>
    <w:p w14:paraId="7F53FFFB">
      <w:pPr>
        <w:pStyle w:val="118"/>
        <w:widowControl/>
        <w:rPr>
          <w:rFonts w:hint="eastAsia" w:ascii="仿宋" w:hAnsi="仿宋" w:eastAsia="仿宋" w:cs="仿宋"/>
          <w:sz w:val="28"/>
          <w:szCs w:val="28"/>
          <w:highlight w:val="none"/>
          <w:u w:val="single"/>
        </w:rPr>
      </w:pPr>
    </w:p>
    <w:p w14:paraId="66B06BD5">
      <w:pPr>
        <w:pStyle w:val="118"/>
        <w:widowControl/>
        <w:rPr>
          <w:rFonts w:hint="eastAsia" w:ascii="仿宋" w:hAnsi="仿宋" w:eastAsia="仿宋" w:cs="仿宋"/>
          <w:sz w:val="28"/>
          <w:szCs w:val="28"/>
          <w:highlight w:val="none"/>
          <w:u w:val="single"/>
        </w:rPr>
      </w:pPr>
    </w:p>
    <w:p w14:paraId="6D61F0C7">
      <w:pPr>
        <w:pStyle w:val="118"/>
        <w:widowControl/>
        <w:rPr>
          <w:rFonts w:hint="eastAsia" w:ascii="仿宋" w:hAnsi="仿宋" w:eastAsia="仿宋" w:cs="仿宋"/>
          <w:sz w:val="28"/>
          <w:szCs w:val="28"/>
          <w:highlight w:val="none"/>
          <w:u w:val="single"/>
        </w:rPr>
      </w:pPr>
    </w:p>
    <w:p w14:paraId="02B6C028">
      <w:pPr>
        <w:pStyle w:val="118"/>
        <w:widowControl/>
        <w:rPr>
          <w:rFonts w:hint="eastAsia" w:ascii="仿宋" w:hAnsi="仿宋" w:eastAsia="仿宋" w:cs="仿宋"/>
          <w:sz w:val="28"/>
          <w:szCs w:val="28"/>
          <w:highlight w:val="none"/>
          <w:u w:val="single"/>
        </w:rPr>
      </w:pPr>
    </w:p>
    <w:p w14:paraId="369A228A">
      <w:pPr>
        <w:pStyle w:val="118"/>
        <w:widowControl/>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符 合 性 审 查 表</w:t>
      </w:r>
    </w:p>
    <w:tbl>
      <w:tblPr>
        <w:tblStyle w:val="88"/>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593"/>
        <w:gridCol w:w="8504"/>
        <w:gridCol w:w="1170"/>
        <w:gridCol w:w="1230"/>
        <w:gridCol w:w="1140"/>
      </w:tblGrid>
      <w:tr w14:paraId="6302079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4176" w:type="dxa"/>
            <w:gridSpan w:val="6"/>
            <w:tcBorders>
              <w:top w:val="nil"/>
              <w:left w:val="nil"/>
              <w:bottom w:val="nil"/>
              <w:right w:val="nil"/>
              <w:tl2br w:val="nil"/>
              <w:tr2bl w:val="nil"/>
            </w:tcBorders>
            <w:vAlign w:val="center"/>
          </w:tcPr>
          <w:p w14:paraId="3A34DE25">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违法人员建库项目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lang w:val="en-US" w:eastAsia="zh-CN"/>
              </w:rPr>
              <w:t>GZHDD-2025-ZC9668</w:t>
            </w:r>
          </w:p>
        </w:tc>
      </w:tr>
      <w:tr w14:paraId="11E130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176" w:type="dxa"/>
            <w:gridSpan w:val="6"/>
            <w:tcBorders>
              <w:top w:val="nil"/>
              <w:left w:val="nil"/>
              <w:bottom w:val="nil"/>
              <w:right w:val="nil"/>
              <w:tl2br w:val="nil"/>
              <w:tr2bl w:val="nil"/>
            </w:tcBorders>
            <w:vAlign w:val="center"/>
          </w:tcPr>
          <w:p w14:paraId="5C9FB3B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评标地点：</w:t>
            </w:r>
            <w:r>
              <w:rPr>
                <w:rFonts w:hint="eastAsia" w:ascii="仿宋" w:hAnsi="仿宋" w:eastAsia="仿宋" w:cs="仿宋"/>
                <w:sz w:val="28"/>
                <w:szCs w:val="28"/>
                <w:highlight w:val="none"/>
                <w:lang w:val="en-US" w:eastAsia="zh-CN"/>
              </w:rPr>
              <w:t>贵阳市公共资源交易中心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评审时间：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5年</w:t>
            </w:r>
            <w:r>
              <w:rPr>
                <w:rFonts w:hint="eastAsia" w:ascii="仿宋" w:hAnsi="仿宋" w:eastAsia="仿宋" w:cs="仿宋"/>
                <w:sz w:val="28"/>
                <w:szCs w:val="28"/>
                <w:highlight w:val="none"/>
              </w:rPr>
              <w:t>.XX</w:t>
            </w:r>
            <w:r>
              <w:rPr>
                <w:rFonts w:hint="eastAsia" w:ascii="仿宋" w:hAnsi="仿宋" w:eastAsia="仿宋" w:cs="仿宋"/>
                <w:sz w:val="28"/>
                <w:szCs w:val="28"/>
                <w:highlight w:val="none"/>
                <w:lang w:val="en-US" w:eastAsia="zh-CN"/>
              </w:rPr>
              <w:t>月</w:t>
            </w:r>
            <w:r>
              <w:rPr>
                <w:rFonts w:hint="eastAsia" w:ascii="仿宋" w:hAnsi="仿宋" w:eastAsia="仿宋" w:cs="仿宋"/>
                <w:sz w:val="28"/>
                <w:szCs w:val="28"/>
                <w:highlight w:val="none"/>
              </w:rPr>
              <w:t>.XX</w:t>
            </w:r>
            <w:r>
              <w:rPr>
                <w:rFonts w:hint="eastAsia" w:ascii="仿宋" w:hAnsi="仿宋" w:eastAsia="仿宋" w:cs="仿宋"/>
                <w:sz w:val="28"/>
                <w:szCs w:val="28"/>
                <w:highlight w:val="none"/>
                <w:lang w:val="en-US" w:eastAsia="zh-CN"/>
              </w:rPr>
              <w:t>日</w:t>
            </w:r>
          </w:p>
        </w:tc>
      </w:tr>
      <w:tr w14:paraId="5487E90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39" w:type="dxa"/>
            <w:tcBorders>
              <w:top w:val="single" w:color="000000" w:sz="4" w:space="0"/>
              <w:left w:val="single" w:color="000000" w:sz="4" w:space="0"/>
              <w:bottom w:val="single" w:color="000000" w:sz="4" w:space="0"/>
              <w:right w:val="single" w:color="000000" w:sz="4" w:space="0"/>
              <w:tl2br w:val="nil"/>
              <w:tr2bl w:val="nil"/>
            </w:tcBorders>
            <w:vAlign w:val="center"/>
          </w:tcPr>
          <w:p w14:paraId="71257B6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22225</wp:posOffset>
                      </wp:positionV>
                      <wp:extent cx="6376035" cy="596900"/>
                      <wp:effectExtent l="635" t="4445" r="5080" b="8255"/>
                      <wp:wrapNone/>
                      <wp:docPr id="2" name="直接箭头连接符 16"/>
                      <wp:cNvGraphicFramePr/>
                      <a:graphic xmlns:a="http://schemas.openxmlformats.org/drawingml/2006/main">
                        <a:graphicData uri="http://schemas.microsoft.com/office/word/2010/wordprocessingShape">
                          <wps:wsp>
                            <wps:cNvCnPr/>
                            <wps:spPr>
                              <a:xfrm>
                                <a:off x="0" y="0"/>
                                <a:ext cx="6376035" cy="596900"/>
                              </a:xfrm>
                              <a:prstGeom prst="straightConnector1">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shape id="直接箭头连接符 16" o:spid="_x0000_s1026" o:spt="32" type="#_x0000_t32" style="position:absolute;left:0pt;margin-left:21.35pt;margin-top:1.75pt;height:47pt;width:502.05pt;z-index:251661312;mso-width-relative:page;mso-height-relative:page;" filled="f" stroked="t" coordsize="21600,21600" o:gfxdata="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fv11tcAAAAIAQAADwAAAAAAAAABACAAAAAiAAAAZHJz&#10;L2Rvd25yZXYueG1sUEsBAhQAFAAAAAgAh07iQOVSNYI+AgAAYQQAAA4AAAAAAAAAAQAgAAAAJgEA&#10;AGRycy9lMm9Eb2MueG1sUEsFBgAAAAAGAAYAWQEAANYFAAAAAA==&#10;">
                      <v:fill on="f" focussize="0,0"/>
                      <v:stroke color="#000000" joinstyle="round"/>
                      <v:imagedata o:title=""/>
                      <o:lock v:ext="edit" aspectratio="f"/>
                    </v:shape>
                  </w:pict>
                </mc:Fallback>
              </mc:AlternateContent>
            </w:r>
            <w:r>
              <w:rPr>
                <w:rFonts w:hint="eastAsia" w:ascii="仿宋" w:hAnsi="仿宋" w:eastAsia="仿宋" w:cs="仿宋"/>
                <w:sz w:val="28"/>
                <w:szCs w:val="28"/>
                <w:highlight w:val="none"/>
              </w:rPr>
              <w:t>序号</w:t>
            </w:r>
          </w:p>
        </w:tc>
        <w:tc>
          <w:tcPr>
            <w:tcW w:w="100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77EDED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p>
          <w:p w14:paraId="08AECAC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资格要求</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1AD05A0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1</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1A8B6B7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2</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41CE328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3</w:t>
            </w:r>
          </w:p>
        </w:tc>
      </w:tr>
      <w:tr w14:paraId="672845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9" w:type="dxa"/>
            <w:tcBorders>
              <w:top w:val="single" w:color="000000" w:sz="4" w:space="0"/>
              <w:left w:val="single" w:color="000000" w:sz="4" w:space="0"/>
              <w:bottom w:val="single" w:color="000000" w:sz="4" w:space="0"/>
              <w:right w:val="single" w:color="000000" w:sz="4" w:space="0"/>
              <w:tl2br w:val="nil"/>
              <w:tr2bl w:val="nil"/>
            </w:tcBorders>
            <w:vAlign w:val="center"/>
          </w:tcPr>
          <w:p w14:paraId="682A6CA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593" w:type="dxa"/>
            <w:tcBorders>
              <w:top w:val="single" w:color="000000" w:sz="4" w:space="0"/>
              <w:left w:val="single" w:color="000000" w:sz="4" w:space="0"/>
              <w:bottom w:val="single" w:color="000000" w:sz="4" w:space="0"/>
              <w:right w:val="single" w:color="000000" w:sz="4" w:space="0"/>
              <w:tl2br w:val="nil"/>
              <w:tr2bl w:val="nil"/>
            </w:tcBorders>
            <w:vAlign w:val="center"/>
          </w:tcPr>
          <w:p w14:paraId="2CC53EE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商务符合性</w:t>
            </w:r>
            <w:r>
              <w:rPr>
                <w:rFonts w:hint="eastAsia" w:ascii="仿宋" w:hAnsi="仿宋" w:eastAsia="仿宋" w:cs="仿宋"/>
                <w:sz w:val="28"/>
                <w:szCs w:val="28"/>
                <w:highlight w:val="none"/>
                <w:lang w:val="en-US" w:eastAsia="zh-CN"/>
              </w:rPr>
              <w:t>审查</w:t>
            </w:r>
          </w:p>
        </w:tc>
        <w:tc>
          <w:tcPr>
            <w:tcW w:w="8504" w:type="dxa"/>
            <w:tcBorders>
              <w:top w:val="single" w:color="000000" w:sz="4" w:space="0"/>
              <w:left w:val="single" w:color="000000" w:sz="4" w:space="0"/>
              <w:bottom w:val="single" w:color="000000" w:sz="4" w:space="0"/>
              <w:right w:val="single" w:color="000000" w:sz="4" w:space="0"/>
              <w:tl2br w:val="nil"/>
              <w:tr2bl w:val="nil"/>
            </w:tcBorders>
            <w:vAlign w:val="top"/>
          </w:tcPr>
          <w:p w14:paraId="12DAC31A">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rPr>
                <w:rFonts w:hint="eastAsia" w:ascii="仿宋" w:hAnsi="仿宋" w:eastAsia="仿宋" w:cs="仿宋"/>
                <w:sz w:val="28"/>
                <w:szCs w:val="28"/>
                <w:highlight w:val="none"/>
              </w:rPr>
            </w:pPr>
            <w:r>
              <w:rPr>
                <w:rFonts w:hint="eastAsia" w:ascii="仿宋" w:hAnsi="仿宋" w:eastAsia="仿宋" w:cs="仿宋"/>
                <w:b w:val="0"/>
                <w:i w:val="0"/>
                <w:spacing w:val="0"/>
                <w:w w:val="100"/>
                <w:sz w:val="28"/>
                <w:szCs w:val="28"/>
                <w:highlight w:val="none"/>
                <w:lang w:val="en-US" w:eastAsia="zh-CN"/>
              </w:rPr>
              <w:t>完全满足竞争性磋商文件“</w:t>
            </w:r>
            <w:r>
              <w:rPr>
                <w:rFonts w:hint="eastAsia" w:ascii="仿宋" w:hAnsi="仿宋" w:eastAsia="仿宋" w:cs="仿宋"/>
                <w:b w:val="0"/>
                <w:i w:val="0"/>
                <w:spacing w:val="0"/>
                <w:w w:val="100"/>
                <w:sz w:val="28"/>
                <w:szCs w:val="28"/>
                <w:highlight w:val="none"/>
              </w:rPr>
              <w:t>商务要求</w:t>
            </w:r>
            <w:r>
              <w:rPr>
                <w:rFonts w:hint="eastAsia" w:ascii="仿宋" w:hAnsi="仿宋" w:eastAsia="仿宋" w:cs="仿宋"/>
                <w:b w:val="0"/>
                <w:i w:val="0"/>
                <w:spacing w:val="0"/>
                <w:w w:val="100"/>
                <w:sz w:val="28"/>
                <w:szCs w:val="28"/>
                <w:highlight w:val="none"/>
                <w:lang w:eastAsia="zh-CN"/>
              </w:rPr>
              <w:t>”的</w:t>
            </w:r>
            <w:r>
              <w:rPr>
                <w:rFonts w:hint="eastAsia" w:ascii="仿宋" w:hAnsi="仿宋" w:eastAsia="仿宋" w:cs="仿宋"/>
                <w:b w:val="0"/>
                <w:i w:val="0"/>
                <w:spacing w:val="0"/>
                <w:w w:val="100"/>
                <w:sz w:val="28"/>
                <w:szCs w:val="28"/>
                <w:highlight w:val="none"/>
              </w:rPr>
              <w:t>所有条款</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50C8DCE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1EFC55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55846A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r>
      <w:tr w14:paraId="34CF46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14:paraId="3522414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593" w:type="dxa"/>
            <w:tcBorders>
              <w:top w:val="single" w:color="000000" w:sz="4" w:space="0"/>
              <w:left w:val="single" w:color="000000" w:sz="4" w:space="0"/>
              <w:bottom w:val="single" w:color="000000" w:sz="4" w:space="0"/>
              <w:right w:val="single" w:color="000000" w:sz="4" w:space="0"/>
            </w:tcBorders>
            <w:vAlign w:val="center"/>
          </w:tcPr>
          <w:p w14:paraId="0209C78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技术符合性</w:t>
            </w:r>
            <w:r>
              <w:rPr>
                <w:rFonts w:hint="eastAsia" w:ascii="仿宋" w:hAnsi="仿宋" w:eastAsia="仿宋" w:cs="仿宋"/>
                <w:sz w:val="28"/>
                <w:szCs w:val="28"/>
                <w:highlight w:val="none"/>
                <w:lang w:val="en-US" w:eastAsia="zh-CN"/>
              </w:rPr>
              <w:t>审查</w:t>
            </w:r>
          </w:p>
        </w:tc>
        <w:tc>
          <w:tcPr>
            <w:tcW w:w="8504" w:type="dxa"/>
            <w:tcBorders>
              <w:top w:val="single" w:color="000000" w:sz="4" w:space="0"/>
              <w:left w:val="single" w:color="000000" w:sz="4" w:space="0"/>
              <w:bottom w:val="single" w:color="000000" w:sz="4" w:space="0"/>
              <w:right w:val="single" w:color="000000" w:sz="4" w:space="0"/>
            </w:tcBorders>
            <w:vAlign w:val="top"/>
          </w:tcPr>
          <w:p w14:paraId="5025B21E">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rPr>
                <w:rFonts w:hint="eastAsia" w:ascii="仿宋" w:hAnsi="仿宋" w:eastAsia="仿宋" w:cs="仿宋"/>
                <w:sz w:val="28"/>
                <w:szCs w:val="28"/>
                <w:highlight w:val="none"/>
                <w:lang w:eastAsia="zh-CN"/>
              </w:rPr>
            </w:pPr>
            <w:r>
              <w:rPr>
                <w:rFonts w:hint="eastAsia" w:ascii="仿宋" w:hAnsi="仿宋" w:eastAsia="仿宋" w:cs="仿宋"/>
                <w:b w:val="0"/>
                <w:i w:val="0"/>
                <w:spacing w:val="0"/>
                <w:w w:val="100"/>
                <w:sz w:val="28"/>
                <w:szCs w:val="28"/>
                <w:highlight w:val="none"/>
                <w:lang w:val="en-US" w:eastAsia="zh-CN"/>
              </w:rPr>
              <w:t>完全满足竞争性磋商文件</w:t>
            </w:r>
            <w:r>
              <w:rPr>
                <w:rFonts w:hint="eastAsia" w:ascii="仿宋" w:hAnsi="仿宋" w:eastAsia="仿宋" w:cs="仿宋"/>
                <w:sz w:val="28"/>
                <w:szCs w:val="28"/>
                <w:highlight w:val="none"/>
                <w:lang w:val="en-US" w:eastAsia="zh-CN"/>
              </w:rPr>
              <w:t>的采购清单及技术参数中“★”号标记的参数。按要求提供证明材料。</w:t>
            </w:r>
          </w:p>
        </w:tc>
        <w:tc>
          <w:tcPr>
            <w:tcW w:w="1170" w:type="dxa"/>
            <w:tcBorders>
              <w:top w:val="single" w:color="000000" w:sz="4" w:space="0"/>
              <w:left w:val="single" w:color="000000" w:sz="4" w:space="0"/>
              <w:bottom w:val="single" w:color="000000" w:sz="4" w:space="0"/>
              <w:right w:val="single" w:color="000000" w:sz="4" w:space="0"/>
            </w:tcBorders>
            <w:vAlign w:val="center"/>
          </w:tcPr>
          <w:p w14:paraId="093F646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A2BB3B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48B4F09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r>
      <w:tr w14:paraId="4FFDE8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14:paraId="18B5E00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593" w:type="dxa"/>
            <w:tcBorders>
              <w:top w:val="single" w:color="000000" w:sz="4" w:space="0"/>
              <w:left w:val="single" w:color="000000" w:sz="4" w:space="0"/>
              <w:bottom w:val="single" w:color="000000" w:sz="4" w:space="0"/>
              <w:right w:val="single" w:color="000000" w:sz="4" w:space="0"/>
            </w:tcBorders>
            <w:vAlign w:val="center"/>
          </w:tcPr>
          <w:p w14:paraId="44F0468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报价审查</w:t>
            </w:r>
          </w:p>
        </w:tc>
        <w:tc>
          <w:tcPr>
            <w:tcW w:w="8504" w:type="dxa"/>
            <w:tcBorders>
              <w:top w:val="single" w:color="000000" w:sz="4" w:space="0"/>
              <w:left w:val="single" w:color="000000" w:sz="4" w:space="0"/>
              <w:bottom w:val="single" w:color="000000" w:sz="4" w:space="0"/>
              <w:right w:val="single" w:color="000000" w:sz="4" w:space="0"/>
            </w:tcBorders>
            <w:vAlign w:val="center"/>
          </w:tcPr>
          <w:p w14:paraId="4A663D6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异常低价审查</w:t>
            </w:r>
          </w:p>
        </w:tc>
        <w:tc>
          <w:tcPr>
            <w:tcW w:w="1170" w:type="dxa"/>
            <w:tcBorders>
              <w:top w:val="single" w:color="000000" w:sz="4" w:space="0"/>
              <w:left w:val="single" w:color="000000" w:sz="4" w:space="0"/>
              <w:bottom w:val="single" w:color="000000" w:sz="4" w:space="0"/>
              <w:right w:val="single" w:color="000000" w:sz="4" w:space="0"/>
            </w:tcBorders>
            <w:vAlign w:val="center"/>
          </w:tcPr>
          <w:p w14:paraId="56038E21">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15D68A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D171F1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r>
      <w:tr w14:paraId="398328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14:paraId="7070B31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593" w:type="dxa"/>
            <w:tcBorders>
              <w:top w:val="single" w:color="000000" w:sz="4" w:space="0"/>
              <w:left w:val="single" w:color="000000" w:sz="4" w:space="0"/>
              <w:bottom w:val="single" w:color="000000" w:sz="4" w:space="0"/>
              <w:right w:val="single" w:color="000000" w:sz="4" w:space="0"/>
            </w:tcBorders>
            <w:vAlign w:val="center"/>
          </w:tcPr>
          <w:p w14:paraId="734EB2B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无效标审查</w:t>
            </w:r>
          </w:p>
        </w:tc>
        <w:tc>
          <w:tcPr>
            <w:tcW w:w="8504" w:type="dxa"/>
            <w:tcBorders>
              <w:top w:val="single" w:color="000000" w:sz="4" w:space="0"/>
              <w:left w:val="single" w:color="000000" w:sz="4" w:space="0"/>
              <w:bottom w:val="single" w:color="000000" w:sz="4" w:space="0"/>
              <w:right w:val="single" w:color="000000" w:sz="4" w:space="0"/>
            </w:tcBorders>
            <w:vAlign w:val="center"/>
          </w:tcPr>
          <w:p w14:paraId="200732CD">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按本项目</w:t>
            </w:r>
            <w:r>
              <w:rPr>
                <w:rFonts w:hint="eastAsia" w:ascii="仿宋" w:hAnsi="仿宋" w:eastAsia="仿宋" w:cs="仿宋"/>
                <w:b w:val="0"/>
                <w:i w:val="0"/>
                <w:spacing w:val="0"/>
                <w:w w:val="100"/>
                <w:sz w:val="28"/>
                <w:szCs w:val="28"/>
                <w:highlight w:val="none"/>
                <w:lang w:val="en-US" w:eastAsia="zh-CN"/>
              </w:rPr>
              <w:t>竞争性磋商文件</w:t>
            </w:r>
            <w:r>
              <w:rPr>
                <w:rFonts w:hint="eastAsia" w:ascii="仿宋" w:hAnsi="仿宋" w:eastAsia="仿宋" w:cs="仿宋"/>
                <w:sz w:val="28"/>
                <w:szCs w:val="28"/>
                <w:highlight w:val="none"/>
              </w:rPr>
              <w:t>无效标条款规定，审查是否通过。</w:t>
            </w:r>
          </w:p>
        </w:tc>
        <w:tc>
          <w:tcPr>
            <w:tcW w:w="1170" w:type="dxa"/>
            <w:tcBorders>
              <w:top w:val="single" w:color="000000" w:sz="4" w:space="0"/>
              <w:left w:val="single" w:color="000000" w:sz="4" w:space="0"/>
              <w:bottom w:val="single" w:color="000000" w:sz="4" w:space="0"/>
              <w:right w:val="single" w:color="000000" w:sz="4" w:space="0"/>
            </w:tcBorders>
            <w:vAlign w:val="center"/>
          </w:tcPr>
          <w:p w14:paraId="6F5EE0F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D4431C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299160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r>
      <w:tr w14:paraId="4D0FBB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3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E25C353">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审查结论（通过或不通过）</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280CB84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230" w:type="dxa"/>
            <w:tcBorders>
              <w:top w:val="single" w:color="000000" w:sz="4" w:space="0"/>
              <w:left w:val="single" w:color="000000" w:sz="4" w:space="0"/>
              <w:bottom w:val="single" w:color="000000" w:sz="4" w:space="0"/>
              <w:right w:val="single" w:color="000000" w:sz="4" w:space="0"/>
              <w:tl2br w:val="nil"/>
              <w:tr2bl w:val="nil"/>
            </w:tcBorders>
            <w:vAlign w:val="center"/>
          </w:tcPr>
          <w:p w14:paraId="384236E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14:paraId="1F2EAB1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p>
        </w:tc>
      </w:tr>
      <w:tr w14:paraId="7F676E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76" w:type="dxa"/>
            <w:gridSpan w:val="6"/>
            <w:tcBorders>
              <w:top w:val="single" w:color="000000" w:sz="4" w:space="0"/>
              <w:left w:val="nil"/>
              <w:bottom w:val="nil"/>
              <w:right w:val="nil"/>
              <w:tl2br w:val="nil"/>
              <w:tr2bl w:val="nil"/>
            </w:tcBorders>
            <w:vAlign w:val="center"/>
          </w:tcPr>
          <w:p w14:paraId="2C9FCC2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color w:val="auto"/>
                <w:sz w:val="28"/>
                <w:szCs w:val="28"/>
                <w:highlight w:val="none"/>
              </w:rPr>
            </w:pPr>
          </w:p>
          <w:p w14:paraId="611A53F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0" w:firstLineChars="0"/>
              <w:rPr>
                <w:rFonts w:hint="eastAsia" w:ascii="仿宋" w:hAnsi="仿宋" w:eastAsia="仿宋" w:cs="仿宋"/>
                <w:sz w:val="28"/>
                <w:szCs w:val="28"/>
                <w:highlight w:val="none"/>
              </w:rPr>
            </w:pPr>
            <w:r>
              <w:rPr>
                <w:rFonts w:hint="eastAsia" w:ascii="仿宋" w:hAnsi="仿宋" w:eastAsia="仿宋" w:cs="仿宋"/>
                <w:color w:val="auto"/>
                <w:sz w:val="28"/>
                <w:szCs w:val="28"/>
                <w:highlight w:val="none"/>
              </w:rPr>
              <w:t>符合性审查成员</w:t>
            </w:r>
            <w:r>
              <w:rPr>
                <w:rFonts w:hint="eastAsia" w:ascii="仿宋" w:hAnsi="仿宋" w:eastAsia="仿宋" w:cs="仿宋"/>
                <w:sz w:val="28"/>
                <w:szCs w:val="28"/>
                <w:highlight w:val="none"/>
              </w:rPr>
              <w:t>（签字）：</w:t>
            </w:r>
          </w:p>
        </w:tc>
      </w:tr>
    </w:tbl>
    <w:p w14:paraId="4C316F68">
      <w:pPr>
        <w:pStyle w:val="34"/>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560" w:firstLineChars="200"/>
        <w:rPr>
          <w:rFonts w:hint="eastAsia" w:ascii="仿宋" w:hAnsi="仿宋" w:eastAsia="仿宋" w:cs="仿宋"/>
          <w:sz w:val="28"/>
          <w:szCs w:val="28"/>
          <w:highlight w:val="none"/>
        </w:rPr>
        <w:sectPr>
          <w:pgSz w:w="16840" w:h="11907" w:orient="landscape"/>
          <w:pgMar w:top="963" w:right="1440" w:bottom="1803" w:left="1440" w:header="607" w:footer="607" w:gutter="0"/>
          <w:pgNumType w:fmt="decimal"/>
          <w:cols w:space="720" w:num="1"/>
          <w:docGrid w:linePitch="286" w:charSpace="0"/>
        </w:sectPr>
      </w:pPr>
    </w:p>
    <w:p w14:paraId="5D9BD877">
      <w:pPr>
        <w:pStyle w:val="34"/>
        <w:widowControl/>
        <w:numPr>
          <w:ilvl w:val="0"/>
          <w:numId w:val="17"/>
        </w:numPr>
        <w:topLinePunct w:val="0"/>
        <w:ind w:left="0" w:leftChars="0" w:firstLine="480" w:firstLineChars="0"/>
        <w:rPr>
          <w:rFonts w:hint="eastAsia" w:ascii="仿宋" w:hAnsi="仿宋" w:eastAsia="仿宋" w:cs="仿宋"/>
          <w:b w:val="0"/>
          <w:sz w:val="28"/>
          <w:szCs w:val="28"/>
          <w:highlight w:val="none"/>
        </w:rPr>
      </w:pPr>
      <w:r>
        <w:rPr>
          <w:rFonts w:hint="eastAsia" w:ascii="仿宋" w:hAnsi="仿宋" w:eastAsia="仿宋" w:cs="仿宋"/>
          <w:sz w:val="28"/>
          <w:szCs w:val="28"/>
          <w:highlight w:val="none"/>
        </w:rPr>
        <w:t>评分表</w:t>
      </w:r>
    </w:p>
    <w:tbl>
      <w:tblPr>
        <w:tblStyle w:val="88"/>
        <w:tblW w:w="4927" w:type="pct"/>
        <w:jc w:val="center"/>
        <w:tblLayout w:type="autofit"/>
        <w:tblCellMar>
          <w:top w:w="0" w:type="dxa"/>
          <w:left w:w="0" w:type="dxa"/>
          <w:bottom w:w="0" w:type="dxa"/>
          <w:right w:w="0" w:type="dxa"/>
        </w:tblCellMar>
      </w:tblPr>
      <w:tblGrid>
        <w:gridCol w:w="1096"/>
        <w:gridCol w:w="4303"/>
        <w:gridCol w:w="1340"/>
        <w:gridCol w:w="565"/>
        <w:gridCol w:w="549"/>
        <w:gridCol w:w="558"/>
        <w:gridCol w:w="532"/>
      </w:tblGrid>
      <w:tr w14:paraId="304E130D">
        <w:tblPrEx>
          <w:tblCellMar>
            <w:top w:w="0" w:type="dxa"/>
            <w:left w:w="0" w:type="dxa"/>
            <w:bottom w:w="0" w:type="dxa"/>
            <w:right w:w="0" w:type="dxa"/>
          </w:tblCellMar>
        </w:tblPrEx>
        <w:trPr>
          <w:trHeight w:val="827" w:hRule="atLeast"/>
          <w:jc w:val="center"/>
        </w:trPr>
        <w:tc>
          <w:tcPr>
            <w:tcW w:w="376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55CCE1">
            <w:pPr>
              <w:keepNext w:val="0"/>
              <w:keepLines w:val="0"/>
              <w:pageBreakBefore w:val="0"/>
              <w:widowControl/>
              <w:wordWrap/>
              <w:overflowPunct/>
              <w:topLinePunct w:val="0"/>
              <w:bidi w:val="0"/>
              <w:adjustRightInd/>
              <w:spacing w:beforeAutospacing="0" w:afterAutospacing="0" w:line="240" w:lineRule="auto"/>
              <w:ind w:left="0" w:firstLine="0" w:firstLineChars="0"/>
              <w:rPr>
                <w:rStyle w:val="111"/>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6985</wp:posOffset>
                      </wp:positionV>
                      <wp:extent cx="4239895" cy="519430"/>
                      <wp:effectExtent l="635" t="6350" r="7620" b="7620"/>
                      <wp:wrapNone/>
                      <wp:docPr id="3" name="直接连接符 4"/>
                      <wp:cNvGraphicFramePr/>
                      <a:graphic xmlns:a="http://schemas.openxmlformats.org/drawingml/2006/main">
                        <a:graphicData uri="http://schemas.microsoft.com/office/word/2010/wordprocessingShape">
                          <wps:wsp>
                            <wps:cNvCnPr/>
                            <wps:spPr>
                              <a:xfrm>
                                <a:off x="865505" y="2398395"/>
                                <a:ext cx="4239895" cy="51943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rot="0" vert="horz" wrap="square" lIns="91440" tIns="45720" rIns="91440" bIns="45720" anchor="t" anchorCtr="0"/>
                          </wps:wsp>
                        </a:graphicData>
                      </a:graphic>
                    </wp:anchor>
                  </w:drawing>
                </mc:Choice>
                <mc:Fallback>
                  <w:pict>
                    <v:line id="直接连接符 4" o:spid="_x0000_s1026" o:spt="20" style="position:absolute;left:0pt;margin-left:0.7pt;margin-top:0.55pt;height:40.9pt;width:333.85pt;z-index:251662336;mso-width-relative:page;mso-height-relative:page;" filled="f" stroked="t" coordsize="21600,21600" o:gfxdata="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r2Ds9YAAAAGAQAADwAAAAAAAAABACAAAAAiAAAAZHJzL2Rvd25yZXYueG1sUEsBAhQA&#10;FAAAAAgAh07iQC/mKO8tAgAAMQQAAA4AAAAAAAAAAQAgAAAAJQEAAGRycy9lMm9Eb2MueG1sUEsF&#10;BgAAAAAGAAYAWQEAAMQFAAAAAA==&#10;">
                      <v:fill on="f" focussize="0,0"/>
                      <v:stroke weight="1pt" color="#000000 [3213]" miterlimit="8" joinstyle="miter"/>
                      <v:imagedata o:title=""/>
                      <o:lock v:ext="edit" aspectratio="f"/>
                    </v:line>
                  </w:pict>
                </mc:Fallback>
              </mc:AlternateContent>
            </w:r>
            <w:r>
              <w:rPr>
                <w:rStyle w:val="111"/>
                <w:rFonts w:hint="eastAsia" w:ascii="仿宋" w:hAnsi="仿宋" w:eastAsia="仿宋" w:cs="仿宋"/>
                <w:kern w:val="2"/>
                <w:sz w:val="24"/>
                <w:szCs w:val="24"/>
                <w:highlight w:val="none"/>
                <w:lang w:eastAsia="zh-CN"/>
              </w:rPr>
              <w:t xml:space="preserve">                 </w:t>
            </w:r>
            <w:r>
              <w:rPr>
                <w:rStyle w:val="111"/>
                <w:rFonts w:hint="eastAsia" w:ascii="仿宋" w:hAnsi="仿宋" w:eastAsia="仿宋" w:cs="仿宋"/>
                <w:kern w:val="2"/>
                <w:sz w:val="24"/>
                <w:szCs w:val="24"/>
                <w:highlight w:val="none"/>
                <w:lang w:val="en-US" w:eastAsia="zh-CN"/>
              </w:rPr>
              <w:t xml:space="preserve">                           </w:t>
            </w:r>
            <w:r>
              <w:rPr>
                <w:rStyle w:val="111"/>
                <w:rFonts w:hint="eastAsia" w:ascii="仿宋" w:hAnsi="仿宋" w:eastAsia="仿宋" w:cs="仿宋"/>
                <w:kern w:val="2"/>
                <w:sz w:val="24"/>
                <w:szCs w:val="24"/>
                <w:highlight w:val="none"/>
                <w:lang w:eastAsia="zh-CN"/>
              </w:rPr>
              <w:t>供应商名称</w:t>
            </w:r>
          </w:p>
          <w:p w14:paraId="6F78C88F">
            <w:pPr>
              <w:keepNext w:val="0"/>
              <w:keepLines w:val="0"/>
              <w:pageBreakBefore w:val="0"/>
              <w:widowControl/>
              <w:wordWrap/>
              <w:overflowPunct/>
              <w:topLinePunct w:val="0"/>
              <w:bidi w:val="0"/>
              <w:adjustRightInd/>
              <w:spacing w:beforeAutospacing="0" w:afterAutospacing="0" w:line="240" w:lineRule="auto"/>
              <w:ind w:left="0" w:firstLine="0" w:firstLineChars="0"/>
              <w:rPr>
                <w:rStyle w:val="111"/>
                <w:rFonts w:hint="eastAsia" w:ascii="仿宋" w:hAnsi="仿宋" w:eastAsia="仿宋" w:cs="仿宋"/>
                <w:kern w:val="2"/>
                <w:sz w:val="24"/>
                <w:szCs w:val="24"/>
                <w:highlight w:val="none"/>
                <w:lang w:eastAsia="zh-CN"/>
              </w:rPr>
            </w:pPr>
            <w:r>
              <w:rPr>
                <w:rStyle w:val="111"/>
                <w:rFonts w:hint="eastAsia" w:ascii="仿宋" w:hAnsi="仿宋" w:eastAsia="仿宋" w:cs="仿宋"/>
                <w:kern w:val="2"/>
                <w:sz w:val="24"/>
                <w:szCs w:val="24"/>
                <w:highlight w:val="none"/>
                <w:lang w:eastAsia="zh-CN"/>
              </w:rPr>
              <w:t>评分项及评分标准</w:t>
            </w:r>
          </w:p>
        </w:tc>
        <w:tc>
          <w:tcPr>
            <w:tcW w:w="316" w:type="pct"/>
            <w:tcBorders>
              <w:top w:val="single" w:color="000000" w:sz="4" w:space="0"/>
              <w:left w:val="nil"/>
              <w:bottom w:val="single" w:color="000000" w:sz="4" w:space="0"/>
              <w:right w:val="single" w:color="000000" w:sz="4" w:space="0"/>
            </w:tcBorders>
            <w:shd w:val="clear" w:color="auto" w:fill="FFFFFF"/>
            <w:vAlign w:val="center"/>
          </w:tcPr>
          <w:p w14:paraId="0519BBA5">
            <w:pPr>
              <w:keepNext w:val="0"/>
              <w:keepLines w:val="0"/>
              <w:pageBreakBefore w:val="0"/>
              <w:widowControl/>
              <w:wordWrap/>
              <w:overflowPunct/>
              <w:topLinePunct w:val="0"/>
              <w:bidi w:val="0"/>
              <w:adjustRightInd/>
              <w:spacing w:beforeAutospacing="0" w:afterAutospacing="0" w:line="24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eastAsia="zh-CN"/>
              </w:rPr>
              <w:t>供应商</w:t>
            </w:r>
            <w:r>
              <w:rPr>
                <w:rStyle w:val="111"/>
                <w:rFonts w:hint="eastAsia" w:ascii="仿宋" w:hAnsi="仿宋" w:eastAsia="仿宋" w:cs="仿宋"/>
                <w:kern w:val="2"/>
                <w:sz w:val="24"/>
                <w:szCs w:val="24"/>
                <w:highlight w:val="none"/>
              </w:rPr>
              <w:t>1</w:t>
            </w:r>
          </w:p>
        </w:tc>
        <w:tc>
          <w:tcPr>
            <w:tcW w:w="307" w:type="pct"/>
            <w:tcBorders>
              <w:top w:val="single" w:color="000000" w:sz="4" w:space="0"/>
              <w:left w:val="nil"/>
              <w:bottom w:val="single" w:color="000000" w:sz="4" w:space="0"/>
              <w:right w:val="single" w:color="000000" w:sz="4" w:space="0"/>
            </w:tcBorders>
            <w:shd w:val="clear" w:color="auto" w:fill="FFFFFF"/>
            <w:vAlign w:val="center"/>
          </w:tcPr>
          <w:p w14:paraId="5CB6BBB6">
            <w:pPr>
              <w:keepNext w:val="0"/>
              <w:keepLines w:val="0"/>
              <w:pageBreakBefore w:val="0"/>
              <w:widowControl/>
              <w:wordWrap/>
              <w:overflowPunct/>
              <w:topLinePunct w:val="0"/>
              <w:bidi w:val="0"/>
              <w:adjustRightInd/>
              <w:spacing w:beforeAutospacing="0" w:afterAutospacing="0" w:line="24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eastAsia="zh-CN"/>
              </w:rPr>
              <w:t>供应商</w:t>
            </w:r>
            <w:r>
              <w:rPr>
                <w:rStyle w:val="111"/>
                <w:rFonts w:hint="eastAsia" w:ascii="仿宋" w:hAnsi="仿宋" w:eastAsia="仿宋" w:cs="仿宋"/>
                <w:kern w:val="2"/>
                <w:sz w:val="24"/>
                <w:szCs w:val="24"/>
                <w:highlight w:val="none"/>
              </w:rPr>
              <w:t>2</w:t>
            </w:r>
          </w:p>
        </w:tc>
        <w:tc>
          <w:tcPr>
            <w:tcW w:w="312" w:type="pct"/>
            <w:tcBorders>
              <w:top w:val="single" w:color="000000" w:sz="4" w:space="0"/>
              <w:left w:val="nil"/>
              <w:bottom w:val="single" w:color="000000" w:sz="4" w:space="0"/>
              <w:right w:val="single" w:color="000000" w:sz="4" w:space="0"/>
            </w:tcBorders>
            <w:shd w:val="clear" w:color="auto" w:fill="FFFFFF"/>
            <w:vAlign w:val="center"/>
          </w:tcPr>
          <w:p w14:paraId="335913C4">
            <w:pPr>
              <w:keepNext w:val="0"/>
              <w:keepLines w:val="0"/>
              <w:pageBreakBefore w:val="0"/>
              <w:widowControl/>
              <w:wordWrap/>
              <w:overflowPunct/>
              <w:topLinePunct w:val="0"/>
              <w:bidi w:val="0"/>
              <w:adjustRightInd/>
              <w:spacing w:beforeAutospacing="0" w:afterAutospacing="0" w:line="24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eastAsia="zh-CN"/>
              </w:rPr>
              <w:t>供应商</w:t>
            </w:r>
            <w:r>
              <w:rPr>
                <w:rStyle w:val="111"/>
                <w:rFonts w:hint="eastAsia" w:ascii="仿宋" w:hAnsi="仿宋" w:eastAsia="仿宋" w:cs="仿宋"/>
                <w:kern w:val="2"/>
                <w:sz w:val="24"/>
                <w:szCs w:val="24"/>
                <w:highlight w:val="none"/>
              </w:rPr>
              <w:t>3</w:t>
            </w:r>
          </w:p>
        </w:tc>
        <w:tc>
          <w:tcPr>
            <w:tcW w:w="294" w:type="pct"/>
            <w:tcBorders>
              <w:top w:val="single" w:color="000000" w:sz="4" w:space="0"/>
              <w:left w:val="nil"/>
              <w:bottom w:val="single" w:color="000000" w:sz="4" w:space="0"/>
              <w:right w:val="single" w:color="000000" w:sz="4" w:space="0"/>
            </w:tcBorders>
            <w:shd w:val="clear" w:color="auto" w:fill="FFFFFF"/>
            <w:vAlign w:val="center"/>
          </w:tcPr>
          <w:p w14:paraId="7DE7A5C6">
            <w:pPr>
              <w:keepNext w:val="0"/>
              <w:keepLines w:val="0"/>
              <w:pageBreakBefore w:val="0"/>
              <w:widowControl/>
              <w:wordWrap/>
              <w:overflowPunct/>
              <w:topLinePunct w:val="0"/>
              <w:bidi w:val="0"/>
              <w:adjustRightInd/>
              <w:spacing w:beforeAutospacing="0" w:afterAutospacing="0" w:line="24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eastAsia="zh-CN"/>
              </w:rPr>
              <w:t>供应商</w:t>
            </w:r>
            <w:r>
              <w:rPr>
                <w:rStyle w:val="111"/>
                <w:rFonts w:hint="eastAsia" w:ascii="仿宋" w:hAnsi="仿宋" w:eastAsia="仿宋" w:cs="仿宋"/>
                <w:kern w:val="2"/>
                <w:sz w:val="24"/>
                <w:szCs w:val="24"/>
                <w:highlight w:val="none"/>
              </w:rPr>
              <w:t>4</w:t>
            </w:r>
          </w:p>
        </w:tc>
      </w:tr>
      <w:tr w14:paraId="664BF3AE">
        <w:tblPrEx>
          <w:tblCellMar>
            <w:top w:w="0" w:type="dxa"/>
            <w:left w:w="0" w:type="dxa"/>
            <w:bottom w:w="0" w:type="dxa"/>
            <w:right w:w="0" w:type="dxa"/>
          </w:tblCellMar>
        </w:tblPrEx>
        <w:trPr>
          <w:trHeight w:val="913" w:hRule="atLeast"/>
          <w:jc w:val="center"/>
        </w:trPr>
        <w:tc>
          <w:tcPr>
            <w:tcW w:w="613" w:type="pct"/>
            <w:tcBorders>
              <w:top w:val="single" w:color="000000" w:sz="4" w:space="0"/>
              <w:left w:val="single" w:color="000000" w:sz="4" w:space="0"/>
              <w:bottom w:val="single" w:color="auto" w:sz="4" w:space="0"/>
              <w:right w:val="single" w:color="000000" w:sz="4" w:space="0"/>
            </w:tcBorders>
            <w:shd w:val="clear" w:color="auto" w:fill="FFFFFF"/>
            <w:vAlign w:val="center"/>
          </w:tcPr>
          <w:p w14:paraId="5457572C">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rPr>
              <w:t>价格分</w:t>
            </w:r>
          </w:p>
          <w:p w14:paraId="649B1EFE">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rPr>
              <w:t>（</w:t>
            </w:r>
            <w:r>
              <w:rPr>
                <w:rStyle w:val="111"/>
                <w:rFonts w:hint="eastAsia" w:ascii="仿宋" w:hAnsi="仿宋" w:eastAsia="仿宋" w:cs="仿宋"/>
                <w:kern w:val="2"/>
                <w:sz w:val="24"/>
                <w:szCs w:val="24"/>
                <w:highlight w:val="none"/>
                <w:lang w:val="en-US" w:eastAsia="zh-CN"/>
              </w:rPr>
              <w:t>1</w:t>
            </w:r>
            <w:r>
              <w:rPr>
                <w:rStyle w:val="111"/>
                <w:rFonts w:hint="eastAsia" w:ascii="仿宋" w:hAnsi="仿宋" w:eastAsia="仿宋" w:cs="仿宋"/>
                <w:kern w:val="2"/>
                <w:sz w:val="24"/>
                <w:szCs w:val="24"/>
                <w:highlight w:val="none"/>
              </w:rPr>
              <w:t>0分）</w:t>
            </w:r>
          </w:p>
        </w:tc>
        <w:tc>
          <w:tcPr>
            <w:tcW w:w="240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A51AD78">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Style w:val="111"/>
                <w:rFonts w:hint="eastAsia" w:ascii="仿宋" w:hAnsi="仿宋" w:eastAsia="仿宋" w:cs="仿宋"/>
                <w:kern w:val="2"/>
                <w:sz w:val="24"/>
                <w:szCs w:val="24"/>
                <w:highlight w:val="none"/>
                <w:lang w:val="en-US" w:eastAsia="zh-CN"/>
              </w:rPr>
            </w:pPr>
            <w:r>
              <w:rPr>
                <w:rFonts w:hint="eastAsia" w:ascii="仿宋" w:hAnsi="仿宋" w:eastAsia="仿宋" w:cs="仿宋"/>
                <w:sz w:val="24"/>
                <w:szCs w:val="24"/>
                <w:highlight w:val="none"/>
                <w:lang w:val="en-US" w:eastAsia="zh-CN"/>
              </w:rPr>
              <w:t>磋商报价得分＝（磋商基准价／最终磋商报价）×价格权值(10%)×100。</w:t>
            </w:r>
          </w:p>
        </w:tc>
        <w:tc>
          <w:tcPr>
            <w:tcW w:w="748"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1B6F47D">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rPr>
              <w:t>0-</w:t>
            </w:r>
            <w:r>
              <w:rPr>
                <w:rStyle w:val="111"/>
                <w:rFonts w:hint="eastAsia" w:ascii="仿宋" w:hAnsi="仿宋" w:eastAsia="仿宋" w:cs="仿宋"/>
                <w:kern w:val="2"/>
                <w:sz w:val="24"/>
                <w:szCs w:val="24"/>
                <w:highlight w:val="none"/>
                <w:lang w:val="en-US" w:eastAsia="zh-CN"/>
              </w:rPr>
              <w:t>1</w:t>
            </w:r>
            <w:r>
              <w:rPr>
                <w:rStyle w:val="111"/>
                <w:rFonts w:hint="eastAsia" w:ascii="仿宋" w:hAnsi="仿宋" w:eastAsia="仿宋" w:cs="仿宋"/>
                <w:kern w:val="2"/>
                <w:sz w:val="24"/>
                <w:szCs w:val="24"/>
                <w:highlight w:val="none"/>
              </w:rPr>
              <w:t>0分</w:t>
            </w:r>
          </w:p>
        </w:tc>
        <w:tc>
          <w:tcPr>
            <w:tcW w:w="316" w:type="pct"/>
            <w:tcBorders>
              <w:top w:val="nil"/>
              <w:left w:val="single" w:color="000000" w:sz="4" w:space="0"/>
              <w:bottom w:val="single" w:color="auto" w:sz="4" w:space="0"/>
              <w:right w:val="single" w:color="000000" w:sz="4" w:space="0"/>
            </w:tcBorders>
            <w:shd w:val="clear" w:color="auto" w:fill="FFFFFF"/>
            <w:vAlign w:val="center"/>
          </w:tcPr>
          <w:p w14:paraId="5765DE4A">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nil"/>
              <w:left w:val="nil"/>
              <w:bottom w:val="single" w:color="auto" w:sz="4" w:space="0"/>
              <w:right w:val="single" w:color="000000" w:sz="4" w:space="0"/>
            </w:tcBorders>
            <w:shd w:val="clear" w:color="auto" w:fill="FFFFFF"/>
            <w:vAlign w:val="center"/>
          </w:tcPr>
          <w:p w14:paraId="4231A479">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nil"/>
              <w:left w:val="nil"/>
              <w:bottom w:val="single" w:color="auto" w:sz="4" w:space="0"/>
              <w:right w:val="single" w:color="000000" w:sz="4" w:space="0"/>
            </w:tcBorders>
            <w:shd w:val="clear" w:color="auto" w:fill="FFFFFF"/>
            <w:vAlign w:val="center"/>
          </w:tcPr>
          <w:p w14:paraId="577A7E17">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nil"/>
              <w:left w:val="nil"/>
              <w:bottom w:val="single" w:color="auto" w:sz="4" w:space="0"/>
              <w:right w:val="single" w:color="000000" w:sz="4" w:space="0"/>
            </w:tcBorders>
            <w:shd w:val="clear" w:color="auto" w:fill="FFFFFF"/>
            <w:vAlign w:val="center"/>
          </w:tcPr>
          <w:p w14:paraId="73A3B529">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483BFC45">
        <w:tblPrEx>
          <w:tblCellMar>
            <w:top w:w="0" w:type="dxa"/>
            <w:left w:w="0" w:type="dxa"/>
            <w:bottom w:w="0" w:type="dxa"/>
            <w:right w:w="0" w:type="dxa"/>
          </w:tblCellMar>
        </w:tblPrEx>
        <w:trPr>
          <w:trHeight w:val="285" w:hRule="atLeast"/>
          <w:jc w:val="center"/>
        </w:trPr>
        <w:tc>
          <w:tcPr>
            <w:tcW w:w="61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5BA7E3">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val="en-US" w:eastAsia="zh-CN"/>
              </w:rPr>
              <w:t>主观分</w:t>
            </w:r>
            <w:r>
              <w:rPr>
                <w:rStyle w:val="111"/>
                <w:rFonts w:hint="eastAsia" w:ascii="仿宋" w:hAnsi="仿宋" w:eastAsia="仿宋" w:cs="仿宋"/>
                <w:kern w:val="2"/>
                <w:sz w:val="24"/>
                <w:szCs w:val="24"/>
                <w:highlight w:val="none"/>
              </w:rPr>
              <w:t>（</w:t>
            </w:r>
            <w:r>
              <w:rPr>
                <w:rStyle w:val="111"/>
                <w:rFonts w:hint="eastAsia" w:ascii="仿宋" w:hAnsi="仿宋" w:eastAsia="仿宋" w:cs="仿宋"/>
                <w:kern w:val="2"/>
                <w:sz w:val="24"/>
                <w:szCs w:val="24"/>
                <w:highlight w:val="none"/>
                <w:lang w:val="en-US" w:eastAsia="zh-CN"/>
              </w:rPr>
              <w:t>15</w:t>
            </w:r>
            <w:r>
              <w:rPr>
                <w:rStyle w:val="111"/>
                <w:rFonts w:hint="eastAsia" w:ascii="仿宋" w:hAnsi="仿宋" w:eastAsia="仿宋" w:cs="仿宋"/>
                <w:kern w:val="2"/>
                <w:sz w:val="24"/>
                <w:szCs w:val="24"/>
                <w:highlight w:val="none"/>
              </w:rPr>
              <w:t>分）</w:t>
            </w:r>
          </w:p>
        </w:tc>
        <w:tc>
          <w:tcPr>
            <w:tcW w:w="2405" w:type="pct"/>
            <w:tcBorders>
              <w:top w:val="single" w:color="auto" w:sz="4" w:space="0"/>
              <w:left w:val="single" w:color="auto" w:sz="4" w:space="0"/>
              <w:bottom w:val="single" w:color="auto" w:sz="4" w:space="0"/>
              <w:right w:val="single" w:color="auto" w:sz="4" w:space="0"/>
            </w:tcBorders>
            <w:shd w:val="clear" w:color="auto" w:fill="FFFFFF"/>
            <w:vAlign w:val="center"/>
          </w:tcPr>
          <w:p w14:paraId="6AD782B4">
            <w:pPr>
              <w:keepNext w:val="0"/>
              <w:keepLines w:val="0"/>
              <w:pageBreakBefore w:val="0"/>
              <w:widowControl/>
              <w:wordWrap/>
              <w:overflowPunct/>
              <w:topLinePunct w:val="0"/>
              <w:bidi w:val="0"/>
              <w:adjustRightInd/>
              <w:spacing w:beforeAutospacing="0" w:afterAutospacing="0" w:line="360" w:lineRule="auto"/>
              <w:rPr>
                <w:rStyle w:val="111"/>
                <w:rFonts w:hint="eastAsia" w:ascii="仿宋" w:hAnsi="仿宋" w:eastAsia="仿宋" w:cs="仿宋"/>
                <w:b/>
                <w:bCs/>
                <w:kern w:val="2"/>
                <w:sz w:val="24"/>
                <w:szCs w:val="24"/>
                <w:highlight w:val="none"/>
                <w:lang w:val="en-US" w:eastAsia="zh-CN"/>
              </w:rPr>
            </w:pPr>
            <w:r>
              <w:rPr>
                <w:rStyle w:val="111"/>
                <w:rFonts w:hint="eastAsia" w:ascii="仿宋" w:hAnsi="仿宋" w:eastAsia="仿宋" w:cs="仿宋"/>
                <w:b/>
                <w:bCs/>
                <w:kern w:val="2"/>
                <w:sz w:val="24"/>
                <w:szCs w:val="24"/>
                <w:highlight w:val="none"/>
                <w:lang w:val="en-US" w:eastAsia="zh-CN"/>
              </w:rPr>
              <w:t>项目实施方案：</w:t>
            </w:r>
          </w:p>
          <w:p w14:paraId="2D30E40B">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供应商针对本项目提供项目实施方案，方案包含但不限于：①整体服务方案；③进度保障措施；④质量保障；⑤人员组织等多方面，评标委员会根据方案进行综合评审：</w:t>
            </w:r>
          </w:p>
          <w:p w14:paraId="6BFC7BF0">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实施方案完整、科学、可行性强，完全满足或优于采购文件要求的得5分。</w:t>
            </w:r>
          </w:p>
          <w:p w14:paraId="52BB3D8E">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实施方案完整、较为科学、可行性较强，基本满足采购文件要求的得2分。</w:t>
            </w:r>
          </w:p>
          <w:p w14:paraId="117E5A6F">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实施方案完整、不够科学、可行性较差，勉强满足采购文件要求的得1分。</w:t>
            </w:r>
          </w:p>
          <w:p w14:paraId="510F88EB">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Style w:val="111"/>
                <w:rFonts w:hint="eastAsia" w:ascii="仿宋" w:hAnsi="仿宋" w:eastAsia="仿宋" w:cs="仿宋"/>
                <w:kern w:val="2"/>
                <w:sz w:val="24"/>
                <w:szCs w:val="24"/>
                <w:highlight w:val="none"/>
                <w:lang w:val="en-US" w:eastAsia="zh-CN"/>
              </w:rPr>
            </w:pPr>
            <w:r>
              <w:rPr>
                <w:rFonts w:hint="eastAsia" w:ascii="仿宋" w:hAnsi="仿宋" w:eastAsia="仿宋" w:cs="仿宋"/>
                <w:sz w:val="24"/>
                <w:szCs w:val="24"/>
                <w:highlight w:val="none"/>
                <w:lang w:val="en-US" w:eastAsia="zh-CN"/>
              </w:rPr>
              <w:t>方案缺项或不提供方案的不得分。</w:t>
            </w:r>
          </w:p>
        </w:tc>
        <w:tc>
          <w:tcPr>
            <w:tcW w:w="748" w:type="pct"/>
            <w:tcBorders>
              <w:top w:val="single" w:color="auto" w:sz="4" w:space="0"/>
              <w:left w:val="single" w:color="auto" w:sz="4" w:space="0"/>
              <w:bottom w:val="single" w:color="auto" w:sz="4" w:space="0"/>
              <w:right w:val="single" w:color="auto" w:sz="4" w:space="0"/>
            </w:tcBorders>
            <w:shd w:val="clear" w:color="auto" w:fill="FFFFFF"/>
            <w:vAlign w:val="center"/>
          </w:tcPr>
          <w:p w14:paraId="4FC25D29">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0-5分</w:t>
            </w:r>
          </w:p>
          <w:p w14:paraId="6631DC37">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（主观分）</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7B6290C1">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24D0937D">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FFFFFF"/>
            <w:vAlign w:val="center"/>
          </w:tcPr>
          <w:p w14:paraId="389E7EEB">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single" w:color="auto" w:sz="4" w:space="0"/>
              <w:bottom w:val="single" w:color="auto" w:sz="4" w:space="0"/>
              <w:right w:val="single" w:color="auto" w:sz="4" w:space="0"/>
            </w:tcBorders>
            <w:shd w:val="clear" w:color="auto" w:fill="FFFFFF"/>
            <w:vAlign w:val="center"/>
          </w:tcPr>
          <w:p w14:paraId="4167C874">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09A49732">
        <w:tblPrEx>
          <w:tblCellMar>
            <w:top w:w="0" w:type="dxa"/>
            <w:left w:w="0" w:type="dxa"/>
            <w:bottom w:w="0" w:type="dxa"/>
            <w:right w:w="0" w:type="dxa"/>
          </w:tblCellMar>
        </w:tblPrEx>
        <w:trPr>
          <w:trHeight w:val="285" w:hRule="atLeast"/>
          <w:jc w:val="center"/>
        </w:trPr>
        <w:tc>
          <w:tcPr>
            <w:tcW w:w="6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9762F0">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p>
        </w:tc>
        <w:tc>
          <w:tcPr>
            <w:tcW w:w="2405" w:type="pct"/>
            <w:tcBorders>
              <w:top w:val="single" w:color="auto" w:sz="4" w:space="0"/>
              <w:left w:val="single" w:color="auto" w:sz="4" w:space="0"/>
              <w:bottom w:val="single" w:color="auto" w:sz="4" w:space="0"/>
              <w:right w:val="single" w:color="auto" w:sz="4" w:space="0"/>
            </w:tcBorders>
            <w:shd w:val="clear" w:color="auto" w:fill="FFFFFF"/>
            <w:vAlign w:val="center"/>
          </w:tcPr>
          <w:p w14:paraId="5A3CC719">
            <w:pPr>
              <w:keepNext w:val="0"/>
              <w:keepLines w:val="0"/>
              <w:pageBreakBefore w:val="0"/>
              <w:widowControl/>
              <w:wordWrap/>
              <w:overflowPunct/>
              <w:topLinePunct w:val="0"/>
              <w:bidi w:val="0"/>
              <w:adjustRightInd/>
              <w:spacing w:beforeAutospacing="0" w:afterAutospacing="0" w:line="360" w:lineRule="auto"/>
              <w:rPr>
                <w:rStyle w:val="111"/>
                <w:rFonts w:hint="eastAsia" w:ascii="仿宋" w:hAnsi="仿宋" w:eastAsia="仿宋" w:cs="仿宋"/>
                <w:b/>
                <w:bCs/>
                <w:kern w:val="2"/>
                <w:sz w:val="24"/>
                <w:szCs w:val="24"/>
                <w:highlight w:val="none"/>
                <w:lang w:val="en-US" w:eastAsia="zh-CN"/>
              </w:rPr>
            </w:pPr>
            <w:r>
              <w:rPr>
                <w:rStyle w:val="111"/>
                <w:rFonts w:hint="eastAsia" w:ascii="仿宋" w:hAnsi="仿宋" w:eastAsia="仿宋" w:cs="仿宋"/>
                <w:b/>
                <w:bCs/>
                <w:kern w:val="2"/>
                <w:sz w:val="24"/>
                <w:szCs w:val="24"/>
                <w:highlight w:val="none"/>
                <w:lang w:val="en-US" w:eastAsia="zh-CN"/>
              </w:rPr>
              <w:t>应急预案措施：</w:t>
            </w:r>
          </w:p>
          <w:p w14:paraId="617F006D">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供应商针对本项目提供应急预案磋商，预案包含但不限于：①检测失败；②检验服务不达标；③检测设备故障的应急措施，评标委员会根据方案进行综合评审：</w:t>
            </w:r>
          </w:p>
          <w:p w14:paraId="20456A11">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（1）实施方案完整、科学、可行性强，的得5分。</w:t>
            </w:r>
          </w:p>
          <w:p w14:paraId="446AECA2">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（2）实施方案完整、较为科学、可行性较强的得2分。</w:t>
            </w:r>
          </w:p>
          <w:p w14:paraId="3148425F">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（3）实施方案完整、不够科学、可行性较差的得1分。</w:t>
            </w:r>
          </w:p>
          <w:p w14:paraId="08C9027E">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（4）方案缺项或不提供方案的不得分。</w:t>
            </w:r>
          </w:p>
        </w:tc>
        <w:tc>
          <w:tcPr>
            <w:tcW w:w="748" w:type="pct"/>
            <w:tcBorders>
              <w:top w:val="single" w:color="auto" w:sz="4" w:space="0"/>
              <w:left w:val="single" w:color="auto" w:sz="4" w:space="0"/>
              <w:bottom w:val="single" w:color="auto" w:sz="4" w:space="0"/>
              <w:right w:val="single" w:color="auto" w:sz="4" w:space="0"/>
            </w:tcBorders>
            <w:shd w:val="clear" w:color="auto" w:fill="FFFFFF"/>
            <w:vAlign w:val="center"/>
          </w:tcPr>
          <w:p w14:paraId="1D40E922">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0-5分</w:t>
            </w:r>
          </w:p>
          <w:p w14:paraId="6AE3C45F">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（主观分）</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7469A81B">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039C87E8">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FFFFFF"/>
            <w:vAlign w:val="center"/>
          </w:tcPr>
          <w:p w14:paraId="50BAC7E6">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single" w:color="auto" w:sz="4" w:space="0"/>
              <w:bottom w:val="single" w:color="auto" w:sz="4" w:space="0"/>
              <w:right w:val="single" w:color="auto" w:sz="4" w:space="0"/>
            </w:tcBorders>
            <w:shd w:val="clear" w:color="auto" w:fill="FFFFFF"/>
            <w:vAlign w:val="center"/>
          </w:tcPr>
          <w:p w14:paraId="1886915E">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68BFDF4C">
        <w:tblPrEx>
          <w:tblCellMar>
            <w:top w:w="0" w:type="dxa"/>
            <w:left w:w="0" w:type="dxa"/>
            <w:bottom w:w="0" w:type="dxa"/>
            <w:right w:w="0" w:type="dxa"/>
          </w:tblCellMar>
        </w:tblPrEx>
        <w:trPr>
          <w:trHeight w:val="285" w:hRule="atLeast"/>
          <w:jc w:val="center"/>
        </w:trPr>
        <w:tc>
          <w:tcPr>
            <w:tcW w:w="6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51C3A0">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p>
        </w:tc>
        <w:tc>
          <w:tcPr>
            <w:tcW w:w="2405" w:type="pct"/>
            <w:tcBorders>
              <w:top w:val="single" w:color="auto" w:sz="4" w:space="0"/>
              <w:left w:val="single" w:color="auto" w:sz="4" w:space="0"/>
              <w:bottom w:val="single" w:color="auto" w:sz="4" w:space="0"/>
              <w:right w:val="single" w:color="auto" w:sz="4" w:space="0"/>
            </w:tcBorders>
            <w:shd w:val="clear" w:color="auto" w:fill="FFFFFF"/>
            <w:vAlign w:val="center"/>
          </w:tcPr>
          <w:p w14:paraId="2F40B60D">
            <w:pPr>
              <w:keepNext w:val="0"/>
              <w:keepLines w:val="0"/>
              <w:pageBreakBefore w:val="0"/>
              <w:widowControl/>
              <w:wordWrap/>
              <w:overflowPunct/>
              <w:topLinePunct w:val="0"/>
              <w:bidi w:val="0"/>
              <w:adjustRightInd/>
              <w:spacing w:beforeAutospacing="0" w:afterAutospacing="0" w:line="360" w:lineRule="auto"/>
              <w:rPr>
                <w:rStyle w:val="111"/>
                <w:rFonts w:hint="eastAsia" w:ascii="仿宋" w:hAnsi="仿宋" w:eastAsia="仿宋" w:cs="仿宋"/>
                <w:b/>
                <w:bCs/>
                <w:kern w:val="2"/>
                <w:sz w:val="24"/>
                <w:szCs w:val="24"/>
                <w:highlight w:val="none"/>
                <w:lang w:val="en-US" w:eastAsia="zh-CN"/>
              </w:rPr>
            </w:pPr>
            <w:r>
              <w:rPr>
                <w:rStyle w:val="111"/>
                <w:rFonts w:hint="eastAsia" w:ascii="仿宋" w:hAnsi="仿宋" w:eastAsia="仿宋" w:cs="仿宋"/>
                <w:b/>
                <w:bCs/>
                <w:kern w:val="2"/>
                <w:sz w:val="24"/>
                <w:szCs w:val="24"/>
                <w:highlight w:val="none"/>
                <w:lang w:val="en-US" w:eastAsia="zh-CN"/>
              </w:rPr>
              <w:t>售后服务方案：</w:t>
            </w:r>
          </w:p>
          <w:p w14:paraId="329748E8">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针对本项目提供售后服务方案，方案包含但不限于：①售后服务人员配备方案；②响应、处理及解决问题的响应方案；③应急措施；④售后服务保障措施⑤实验区域的保洁；评标委员会根据方案进行综合评审：</w:t>
            </w:r>
          </w:p>
          <w:p w14:paraId="3D64D8F3">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（1）实施方案完整、科学、可行性强的得5分。</w:t>
            </w:r>
          </w:p>
          <w:p w14:paraId="177C9EB3">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（2）实施方案完整、较为科学、可行性较强的得2分。</w:t>
            </w:r>
          </w:p>
          <w:p w14:paraId="72051E9D">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（3）实施方案完整、不够科学、可行性较差的得1分。</w:t>
            </w:r>
          </w:p>
          <w:p w14:paraId="2515DBB3">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Style w:val="111"/>
                <w:rFonts w:hint="eastAsia" w:ascii="仿宋" w:hAnsi="仿宋" w:eastAsia="仿宋" w:cs="仿宋"/>
                <w:kern w:val="2"/>
                <w:sz w:val="24"/>
                <w:szCs w:val="24"/>
                <w:highlight w:val="none"/>
                <w:lang w:val="en-US" w:eastAsia="zh-CN"/>
              </w:rPr>
            </w:pPr>
            <w:r>
              <w:rPr>
                <w:rFonts w:hint="eastAsia" w:ascii="仿宋" w:hAnsi="仿宋" w:eastAsia="仿宋" w:cs="仿宋"/>
                <w:sz w:val="24"/>
                <w:szCs w:val="24"/>
                <w:highlight w:val="none"/>
                <w:lang w:val="en-US" w:eastAsia="zh-CN"/>
              </w:rPr>
              <w:t>（4）方案缺项或不提供方案的不得分。</w:t>
            </w:r>
          </w:p>
        </w:tc>
        <w:tc>
          <w:tcPr>
            <w:tcW w:w="748" w:type="pct"/>
            <w:tcBorders>
              <w:top w:val="single" w:color="auto" w:sz="4" w:space="0"/>
              <w:left w:val="single" w:color="auto" w:sz="4" w:space="0"/>
              <w:bottom w:val="single" w:color="auto" w:sz="4" w:space="0"/>
              <w:right w:val="single" w:color="auto" w:sz="4" w:space="0"/>
            </w:tcBorders>
            <w:shd w:val="clear" w:color="auto" w:fill="FFFFFF"/>
            <w:vAlign w:val="center"/>
          </w:tcPr>
          <w:p w14:paraId="126FBAB8">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0-5分</w:t>
            </w:r>
          </w:p>
          <w:p w14:paraId="07E4E37F">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eastAsia="zh-CN"/>
              </w:rPr>
            </w:pPr>
            <w:r>
              <w:rPr>
                <w:rStyle w:val="111"/>
                <w:rFonts w:hint="eastAsia" w:ascii="仿宋" w:hAnsi="仿宋" w:eastAsia="仿宋" w:cs="仿宋"/>
                <w:kern w:val="2"/>
                <w:sz w:val="24"/>
                <w:szCs w:val="24"/>
                <w:highlight w:val="none"/>
                <w:lang w:val="en-US" w:eastAsia="zh-CN"/>
              </w:rPr>
              <w:t>（主观分）</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C0CDA09">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4B898F5A">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shd w:val="clear" w:color="auto" w:fill="FFFFFF"/>
            <w:vAlign w:val="center"/>
          </w:tcPr>
          <w:p w14:paraId="3EF8083A">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single" w:color="auto" w:sz="4" w:space="0"/>
              <w:bottom w:val="single" w:color="auto" w:sz="4" w:space="0"/>
              <w:right w:val="single" w:color="auto" w:sz="4" w:space="0"/>
            </w:tcBorders>
            <w:shd w:val="clear" w:color="auto" w:fill="FFFFFF"/>
            <w:vAlign w:val="center"/>
          </w:tcPr>
          <w:p w14:paraId="40498DCA">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637E8C60">
        <w:tblPrEx>
          <w:tblCellMar>
            <w:top w:w="0" w:type="dxa"/>
            <w:left w:w="0" w:type="dxa"/>
            <w:bottom w:w="0" w:type="dxa"/>
            <w:right w:w="0" w:type="dxa"/>
          </w:tblCellMar>
        </w:tblPrEx>
        <w:trPr>
          <w:trHeight w:val="349" w:hRule="atLeast"/>
          <w:jc w:val="center"/>
        </w:trPr>
        <w:tc>
          <w:tcPr>
            <w:tcW w:w="613" w:type="pct"/>
            <w:vMerge w:val="restart"/>
            <w:tcBorders>
              <w:top w:val="single" w:color="auto" w:sz="4" w:space="0"/>
              <w:left w:val="single" w:color="auto" w:sz="4" w:space="0"/>
              <w:bottom w:val="single" w:color="000000" w:sz="4" w:space="0"/>
              <w:right w:val="single" w:color="auto" w:sz="4" w:space="0"/>
            </w:tcBorders>
            <w:shd w:val="clear" w:color="auto" w:fill="FFFFFF"/>
            <w:vAlign w:val="center"/>
          </w:tcPr>
          <w:p w14:paraId="4612C4AA">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val="en-US" w:eastAsia="zh-CN"/>
              </w:rPr>
              <w:t>客观分</w:t>
            </w:r>
            <w:r>
              <w:rPr>
                <w:rStyle w:val="111"/>
                <w:rFonts w:hint="eastAsia" w:ascii="仿宋" w:hAnsi="仿宋" w:eastAsia="仿宋" w:cs="仿宋"/>
                <w:kern w:val="2"/>
                <w:sz w:val="24"/>
                <w:szCs w:val="24"/>
                <w:highlight w:val="none"/>
              </w:rPr>
              <w:t>（</w:t>
            </w:r>
            <w:r>
              <w:rPr>
                <w:rStyle w:val="111"/>
                <w:rFonts w:hint="eastAsia" w:ascii="仿宋" w:hAnsi="仿宋" w:eastAsia="仿宋" w:cs="仿宋"/>
                <w:kern w:val="2"/>
                <w:sz w:val="24"/>
                <w:szCs w:val="24"/>
                <w:highlight w:val="none"/>
                <w:lang w:val="en-US" w:eastAsia="zh-CN"/>
              </w:rPr>
              <w:t>75</w:t>
            </w:r>
            <w:r>
              <w:rPr>
                <w:rStyle w:val="111"/>
                <w:rFonts w:hint="eastAsia" w:ascii="仿宋" w:hAnsi="仿宋" w:eastAsia="仿宋" w:cs="仿宋"/>
                <w:kern w:val="2"/>
                <w:sz w:val="24"/>
                <w:szCs w:val="24"/>
                <w:highlight w:val="none"/>
              </w:rPr>
              <w:t>分）</w:t>
            </w:r>
          </w:p>
        </w:tc>
        <w:tc>
          <w:tcPr>
            <w:tcW w:w="2405" w:type="pct"/>
            <w:tcBorders>
              <w:top w:val="single" w:color="auto" w:sz="4" w:space="0"/>
              <w:left w:val="single" w:color="auto" w:sz="4" w:space="0"/>
              <w:bottom w:val="single" w:color="auto" w:sz="4" w:space="0"/>
              <w:right w:val="single" w:color="000000" w:sz="4" w:space="0"/>
            </w:tcBorders>
            <w:shd w:val="clear" w:color="auto" w:fill="FFFFFF"/>
            <w:vAlign w:val="center"/>
          </w:tcPr>
          <w:p w14:paraId="62CE24F1">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91"/>
                <w:rFonts w:hint="eastAsia" w:ascii="仿宋" w:hAnsi="仿宋" w:eastAsia="仿宋" w:cs="仿宋"/>
                <w:b/>
                <w:bCs/>
                <w:i w:val="0"/>
                <w:iCs w:val="0"/>
                <w:color w:val="333333"/>
                <w:spacing w:val="0"/>
                <w:sz w:val="24"/>
                <w:szCs w:val="24"/>
                <w:highlight w:val="none"/>
                <w:u w:val="none"/>
                <w:shd w:val="clear" w:fill="FFFFFF"/>
                <w:lang w:val="en-US" w:eastAsia="zh-CN"/>
              </w:rPr>
            </w:pPr>
            <w:r>
              <w:rPr>
                <w:rStyle w:val="91"/>
                <w:rFonts w:hint="eastAsia" w:ascii="仿宋" w:hAnsi="仿宋" w:eastAsia="仿宋" w:cs="仿宋"/>
                <w:b/>
                <w:bCs/>
                <w:i w:val="0"/>
                <w:iCs w:val="0"/>
                <w:color w:val="333333"/>
                <w:spacing w:val="0"/>
                <w:sz w:val="24"/>
                <w:szCs w:val="24"/>
                <w:highlight w:val="none"/>
                <w:u w:val="none"/>
                <w:shd w:val="clear" w:fill="FFFFFF"/>
                <w:lang w:val="en-US" w:eastAsia="zh-CN"/>
              </w:rPr>
              <w:t>技术参数响应：</w:t>
            </w:r>
          </w:p>
          <w:p w14:paraId="11C22114">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除“★”项条款参数外，所投产品其他技术参数完全满足或优于采购文件技术参数的得15分，一项不满足扣5分，扣完为止。</w:t>
            </w:r>
          </w:p>
          <w:p w14:paraId="4F94DD23">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注：以技术偏离表逐条响应为准；如技术参数中要求提供佐证材料的，供应商须按要求提供，如未提供的，视为该项不满足，评标委员会可认定为负偏离。</w:t>
            </w:r>
          </w:p>
        </w:tc>
        <w:tc>
          <w:tcPr>
            <w:tcW w:w="748" w:type="pct"/>
            <w:tcBorders>
              <w:top w:val="single" w:color="auto" w:sz="4" w:space="0"/>
              <w:left w:val="single" w:color="000000" w:sz="4" w:space="0"/>
              <w:bottom w:val="single" w:color="auto" w:sz="4" w:space="0"/>
              <w:right w:val="single" w:color="000000" w:sz="4" w:space="0"/>
            </w:tcBorders>
            <w:shd w:val="clear" w:color="auto" w:fill="FFFFFF"/>
            <w:vAlign w:val="center"/>
          </w:tcPr>
          <w:p w14:paraId="04384B17">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0-15分</w:t>
            </w:r>
          </w:p>
          <w:p w14:paraId="755CAFAF">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（客观分）</w:t>
            </w:r>
          </w:p>
        </w:tc>
        <w:tc>
          <w:tcPr>
            <w:tcW w:w="316" w:type="pct"/>
            <w:tcBorders>
              <w:top w:val="single" w:color="auto" w:sz="4" w:space="0"/>
              <w:left w:val="single" w:color="000000" w:sz="4" w:space="0"/>
              <w:bottom w:val="single" w:color="auto" w:sz="4" w:space="0"/>
              <w:right w:val="single" w:color="000000" w:sz="4" w:space="0"/>
            </w:tcBorders>
            <w:shd w:val="clear" w:color="auto" w:fill="FFFFFF"/>
            <w:vAlign w:val="center"/>
          </w:tcPr>
          <w:p w14:paraId="587EEE63">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nil"/>
              <w:bottom w:val="single" w:color="auto" w:sz="4" w:space="0"/>
              <w:right w:val="single" w:color="000000" w:sz="4" w:space="0"/>
            </w:tcBorders>
            <w:shd w:val="clear" w:color="auto" w:fill="FFFFFF"/>
            <w:vAlign w:val="center"/>
          </w:tcPr>
          <w:p w14:paraId="1B9EA22C">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nil"/>
              <w:bottom w:val="single" w:color="auto" w:sz="4" w:space="0"/>
              <w:right w:val="single" w:color="000000" w:sz="4" w:space="0"/>
            </w:tcBorders>
            <w:shd w:val="clear" w:color="auto" w:fill="FFFFFF"/>
            <w:vAlign w:val="center"/>
          </w:tcPr>
          <w:p w14:paraId="2099CD2F">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nil"/>
              <w:bottom w:val="single" w:color="auto" w:sz="4" w:space="0"/>
              <w:right w:val="single" w:color="auto" w:sz="4" w:space="0"/>
            </w:tcBorders>
            <w:shd w:val="clear" w:color="auto" w:fill="FFFFFF"/>
            <w:vAlign w:val="center"/>
          </w:tcPr>
          <w:p w14:paraId="7EEF9966">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0978C7CE">
        <w:tblPrEx>
          <w:tblCellMar>
            <w:top w:w="0" w:type="dxa"/>
            <w:left w:w="0" w:type="dxa"/>
            <w:bottom w:w="0" w:type="dxa"/>
            <w:right w:w="0" w:type="dxa"/>
          </w:tblCellMar>
        </w:tblPrEx>
        <w:trPr>
          <w:trHeight w:val="349" w:hRule="atLeast"/>
          <w:jc w:val="center"/>
        </w:trPr>
        <w:tc>
          <w:tcPr>
            <w:tcW w:w="613" w:type="pct"/>
            <w:vMerge w:val="continue"/>
            <w:tcBorders>
              <w:left w:val="single" w:color="auto" w:sz="4" w:space="0"/>
              <w:right w:val="single" w:color="auto" w:sz="4" w:space="0"/>
            </w:tcBorders>
            <w:shd w:val="clear" w:color="auto" w:fill="FFFFFF"/>
            <w:vAlign w:val="center"/>
          </w:tcPr>
          <w:p w14:paraId="04906044">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p>
        </w:tc>
        <w:tc>
          <w:tcPr>
            <w:tcW w:w="2405" w:type="pct"/>
            <w:tcBorders>
              <w:top w:val="single" w:color="auto" w:sz="4" w:space="0"/>
              <w:left w:val="single" w:color="auto" w:sz="4" w:space="0"/>
              <w:bottom w:val="single" w:color="auto" w:sz="4" w:space="0"/>
              <w:right w:val="single" w:color="000000" w:sz="4" w:space="0"/>
            </w:tcBorders>
            <w:shd w:val="clear" w:color="auto" w:fill="FFFFFF"/>
            <w:vAlign w:val="center"/>
          </w:tcPr>
          <w:p w14:paraId="6A7D7686">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所投常染色体检测试剂盒，在满足第1条参数29个基因座的基础上，D3S1744、D4S2366、D5S2500、D18S535、D7S3048、D11S2368、D13S325、D14S608、D17S1290、D22GATA198B05基因座中每增加一个3分，满分30分。</w:t>
            </w:r>
          </w:p>
          <w:p w14:paraId="2ECEC47D">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注：提供分析图谱、数据库基因座信息截图证明。</w:t>
            </w:r>
          </w:p>
        </w:tc>
        <w:tc>
          <w:tcPr>
            <w:tcW w:w="748" w:type="pct"/>
            <w:tcBorders>
              <w:top w:val="single" w:color="auto" w:sz="4" w:space="0"/>
              <w:left w:val="single" w:color="000000" w:sz="4" w:space="0"/>
              <w:bottom w:val="single" w:color="auto" w:sz="4" w:space="0"/>
              <w:right w:val="single" w:color="000000" w:sz="4" w:space="0"/>
            </w:tcBorders>
            <w:shd w:val="clear" w:color="auto" w:fill="FFFFFF"/>
            <w:vAlign w:val="center"/>
          </w:tcPr>
          <w:p w14:paraId="4C2D7DCD">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0-30分</w:t>
            </w:r>
          </w:p>
          <w:p w14:paraId="5465BD69">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（客观分）</w:t>
            </w:r>
          </w:p>
        </w:tc>
        <w:tc>
          <w:tcPr>
            <w:tcW w:w="316" w:type="pct"/>
            <w:tcBorders>
              <w:top w:val="single" w:color="auto" w:sz="4" w:space="0"/>
              <w:left w:val="single" w:color="000000" w:sz="4" w:space="0"/>
              <w:bottom w:val="single" w:color="auto" w:sz="4" w:space="0"/>
              <w:right w:val="single" w:color="000000" w:sz="4" w:space="0"/>
            </w:tcBorders>
            <w:shd w:val="clear" w:color="auto" w:fill="FFFFFF"/>
            <w:vAlign w:val="center"/>
          </w:tcPr>
          <w:p w14:paraId="16AB2523">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nil"/>
              <w:bottom w:val="single" w:color="auto" w:sz="4" w:space="0"/>
              <w:right w:val="single" w:color="000000" w:sz="4" w:space="0"/>
            </w:tcBorders>
            <w:shd w:val="clear" w:color="auto" w:fill="FFFFFF"/>
            <w:vAlign w:val="center"/>
          </w:tcPr>
          <w:p w14:paraId="23E1EE7D">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nil"/>
              <w:bottom w:val="single" w:color="auto" w:sz="4" w:space="0"/>
              <w:right w:val="single" w:color="000000" w:sz="4" w:space="0"/>
            </w:tcBorders>
            <w:shd w:val="clear" w:color="auto" w:fill="FFFFFF"/>
            <w:vAlign w:val="center"/>
          </w:tcPr>
          <w:p w14:paraId="07E19122">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nil"/>
              <w:bottom w:val="single" w:color="auto" w:sz="4" w:space="0"/>
              <w:right w:val="single" w:color="auto" w:sz="4" w:space="0"/>
            </w:tcBorders>
            <w:shd w:val="clear" w:color="auto" w:fill="FFFFFF"/>
            <w:vAlign w:val="center"/>
          </w:tcPr>
          <w:p w14:paraId="07568245">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62364A07">
        <w:tblPrEx>
          <w:tblCellMar>
            <w:top w:w="0" w:type="dxa"/>
            <w:left w:w="0" w:type="dxa"/>
            <w:bottom w:w="0" w:type="dxa"/>
            <w:right w:w="0" w:type="dxa"/>
          </w:tblCellMar>
        </w:tblPrEx>
        <w:trPr>
          <w:trHeight w:val="349" w:hRule="atLeast"/>
          <w:jc w:val="center"/>
        </w:trPr>
        <w:tc>
          <w:tcPr>
            <w:tcW w:w="613" w:type="pct"/>
            <w:vMerge w:val="continue"/>
            <w:tcBorders>
              <w:left w:val="single" w:color="auto" w:sz="4" w:space="0"/>
              <w:right w:val="single" w:color="auto" w:sz="4" w:space="0"/>
            </w:tcBorders>
            <w:shd w:val="clear" w:color="auto" w:fill="FFFFFF"/>
            <w:vAlign w:val="center"/>
          </w:tcPr>
          <w:p w14:paraId="542E2FDF">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p>
        </w:tc>
        <w:tc>
          <w:tcPr>
            <w:tcW w:w="2405" w:type="pct"/>
            <w:tcBorders>
              <w:top w:val="single" w:color="auto" w:sz="4" w:space="0"/>
              <w:left w:val="single" w:color="auto" w:sz="4" w:space="0"/>
              <w:bottom w:val="single" w:color="auto" w:sz="4" w:space="0"/>
              <w:right w:val="single" w:color="000000" w:sz="4" w:space="0"/>
            </w:tcBorders>
            <w:shd w:val="clear" w:color="auto" w:fill="FFFFFF"/>
            <w:vAlign w:val="center"/>
          </w:tcPr>
          <w:p w14:paraId="547956AF">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91"/>
                <w:rFonts w:hint="eastAsia" w:ascii="仿宋" w:hAnsi="仿宋" w:eastAsia="仿宋" w:cs="仿宋"/>
                <w:b/>
                <w:bCs/>
                <w:i w:val="0"/>
                <w:iCs w:val="0"/>
                <w:color w:val="333333"/>
                <w:spacing w:val="0"/>
                <w:sz w:val="24"/>
                <w:szCs w:val="24"/>
                <w:highlight w:val="none"/>
                <w:u w:val="none"/>
                <w:shd w:val="clear" w:fill="FFFFFF"/>
                <w:lang w:val="en-US" w:eastAsia="zh-CN"/>
              </w:rPr>
            </w:pPr>
            <w:r>
              <w:rPr>
                <w:rStyle w:val="91"/>
                <w:rFonts w:hint="eastAsia" w:ascii="仿宋" w:hAnsi="仿宋" w:eastAsia="仿宋" w:cs="仿宋"/>
                <w:b/>
                <w:bCs/>
                <w:i w:val="0"/>
                <w:iCs w:val="0"/>
                <w:color w:val="333333"/>
                <w:spacing w:val="0"/>
                <w:sz w:val="24"/>
                <w:szCs w:val="24"/>
                <w:highlight w:val="none"/>
                <w:u w:val="none"/>
                <w:shd w:val="clear" w:fill="FFFFFF"/>
                <w:lang w:val="en-US" w:eastAsia="zh-CN"/>
              </w:rPr>
              <w:t>供应商综合实力：</w:t>
            </w:r>
          </w:p>
          <w:p w14:paraId="13497B1D">
            <w:pPr>
              <w:keepNext w:val="0"/>
              <w:keepLines w:val="0"/>
              <w:pageBreakBefore w:val="0"/>
              <w:numPr>
                <w:ilvl w:val="0"/>
                <w:numId w:val="18"/>
              </w:numPr>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具有有效的ISO9001质量管理体系认证证书的得1分；</w:t>
            </w:r>
          </w:p>
          <w:p w14:paraId="7D637C61">
            <w:pPr>
              <w:keepNext w:val="0"/>
              <w:keepLines w:val="0"/>
              <w:pageBreakBefore w:val="0"/>
              <w:numPr>
                <w:ilvl w:val="0"/>
                <w:numId w:val="18"/>
              </w:numPr>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具有有效的ISO14001环境管理体系认证证书的得1分；</w:t>
            </w:r>
          </w:p>
          <w:p w14:paraId="53EEBD05">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（3）具有有效的ISO45001职业健康安全管理体系认证证书的得1分；</w:t>
            </w:r>
          </w:p>
          <w:p w14:paraId="52CE57B0">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注：提供有效期内的认证证书复印件。</w:t>
            </w:r>
          </w:p>
          <w:p w14:paraId="3DF42954">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（4）为满足本次项目数据库建设需求，供应商具有在公安系统内DNA数据库建库服务经验、具备DNA数据库检验检测能力的技术人员，每提供1名得1分，满分3分。</w:t>
            </w:r>
          </w:p>
          <w:p w14:paraId="7A455C37">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注：由投标单位出具技术人员具有相关经验的承诺函。</w:t>
            </w:r>
          </w:p>
          <w:p w14:paraId="77C9F780">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（5）每提供1台3730xl DNA测序仪的得2分，满分4分。</w:t>
            </w:r>
          </w:p>
          <w:p w14:paraId="084FBE36">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注：提供设备的购置发票。</w:t>
            </w:r>
          </w:p>
          <w:p w14:paraId="3062F395">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（6）每提供1台PCR扩增仪的得2分，满10分。</w:t>
            </w:r>
          </w:p>
          <w:p w14:paraId="1EDFEA6D">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仿宋" w:hAnsi="仿宋" w:eastAsia="仿宋" w:cs="仿宋"/>
                <w:sz w:val="24"/>
                <w:szCs w:val="24"/>
                <w:highlight w:val="none"/>
                <w:lang w:val="en-US" w:eastAsia="zh-CN"/>
              </w:rPr>
              <w:t>注：设备可以是自有及租赁，自有的提供自有设备的购置发票；租赁的提供租赁合同复印件。</w:t>
            </w:r>
          </w:p>
        </w:tc>
        <w:tc>
          <w:tcPr>
            <w:tcW w:w="748" w:type="pct"/>
            <w:tcBorders>
              <w:top w:val="single" w:color="auto" w:sz="4" w:space="0"/>
              <w:left w:val="single" w:color="000000" w:sz="4" w:space="0"/>
              <w:bottom w:val="single" w:color="auto" w:sz="4" w:space="0"/>
              <w:right w:val="single" w:color="000000" w:sz="4" w:space="0"/>
            </w:tcBorders>
            <w:shd w:val="clear" w:color="auto" w:fill="FFFFFF"/>
            <w:vAlign w:val="center"/>
          </w:tcPr>
          <w:p w14:paraId="55AED656">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0-20分</w:t>
            </w:r>
          </w:p>
          <w:p w14:paraId="5C42EC0A">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（客观分）</w:t>
            </w:r>
          </w:p>
        </w:tc>
        <w:tc>
          <w:tcPr>
            <w:tcW w:w="316" w:type="pct"/>
            <w:tcBorders>
              <w:top w:val="single" w:color="auto" w:sz="4" w:space="0"/>
              <w:left w:val="single" w:color="000000" w:sz="4" w:space="0"/>
              <w:bottom w:val="single" w:color="auto" w:sz="4" w:space="0"/>
              <w:right w:val="single" w:color="000000" w:sz="4" w:space="0"/>
            </w:tcBorders>
            <w:shd w:val="clear" w:color="auto" w:fill="FFFFFF"/>
            <w:vAlign w:val="center"/>
          </w:tcPr>
          <w:p w14:paraId="76CA0818">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nil"/>
              <w:bottom w:val="single" w:color="auto" w:sz="4" w:space="0"/>
              <w:right w:val="single" w:color="000000" w:sz="4" w:space="0"/>
            </w:tcBorders>
            <w:shd w:val="clear" w:color="auto" w:fill="FFFFFF"/>
            <w:vAlign w:val="center"/>
          </w:tcPr>
          <w:p w14:paraId="2547DA6C">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nil"/>
              <w:bottom w:val="single" w:color="auto" w:sz="4" w:space="0"/>
              <w:right w:val="single" w:color="000000" w:sz="4" w:space="0"/>
            </w:tcBorders>
            <w:shd w:val="clear" w:color="auto" w:fill="FFFFFF"/>
            <w:vAlign w:val="center"/>
          </w:tcPr>
          <w:p w14:paraId="5942B828">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nil"/>
              <w:bottom w:val="single" w:color="auto" w:sz="4" w:space="0"/>
              <w:right w:val="single" w:color="auto" w:sz="4" w:space="0"/>
            </w:tcBorders>
            <w:shd w:val="clear" w:color="auto" w:fill="FFFFFF"/>
            <w:vAlign w:val="center"/>
          </w:tcPr>
          <w:p w14:paraId="58D8011F">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5F2A98EE">
        <w:tblPrEx>
          <w:tblCellMar>
            <w:top w:w="0" w:type="dxa"/>
            <w:left w:w="0" w:type="dxa"/>
            <w:bottom w:w="0" w:type="dxa"/>
            <w:right w:w="0" w:type="dxa"/>
          </w:tblCellMar>
        </w:tblPrEx>
        <w:trPr>
          <w:trHeight w:val="349" w:hRule="atLeast"/>
          <w:jc w:val="center"/>
        </w:trPr>
        <w:tc>
          <w:tcPr>
            <w:tcW w:w="613" w:type="pct"/>
            <w:vMerge w:val="continue"/>
            <w:tcBorders>
              <w:left w:val="single" w:color="auto" w:sz="4" w:space="0"/>
              <w:right w:val="single" w:color="auto" w:sz="4" w:space="0"/>
            </w:tcBorders>
            <w:shd w:val="clear" w:color="auto" w:fill="FFFFFF"/>
            <w:vAlign w:val="center"/>
          </w:tcPr>
          <w:p w14:paraId="4C8D54E5">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p>
        </w:tc>
        <w:tc>
          <w:tcPr>
            <w:tcW w:w="2405" w:type="pct"/>
            <w:tcBorders>
              <w:top w:val="single" w:color="auto" w:sz="4" w:space="0"/>
              <w:left w:val="single" w:color="auto" w:sz="4" w:space="0"/>
              <w:bottom w:val="single" w:color="auto" w:sz="4" w:space="0"/>
              <w:right w:val="single" w:color="000000" w:sz="4" w:space="0"/>
            </w:tcBorders>
            <w:shd w:val="clear" w:color="auto" w:fill="FFFFFF"/>
            <w:vAlign w:val="center"/>
          </w:tcPr>
          <w:p w14:paraId="7A915E35">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Style w:val="91"/>
                <w:rFonts w:hint="eastAsia" w:ascii="仿宋" w:hAnsi="仿宋" w:eastAsia="仿宋" w:cs="仿宋"/>
                <w:b/>
                <w:bCs/>
                <w:i w:val="0"/>
                <w:iCs w:val="0"/>
                <w:color w:val="333333"/>
                <w:spacing w:val="0"/>
                <w:sz w:val="24"/>
                <w:szCs w:val="24"/>
                <w:highlight w:val="none"/>
                <w:u w:val="none"/>
                <w:shd w:val="clear" w:fill="FFFFFF"/>
                <w:lang w:val="en-US" w:eastAsia="zh-CN"/>
              </w:rPr>
            </w:pPr>
            <w:r>
              <w:rPr>
                <w:rStyle w:val="91"/>
                <w:rFonts w:hint="eastAsia" w:ascii="仿宋" w:hAnsi="仿宋" w:eastAsia="仿宋" w:cs="仿宋"/>
                <w:b/>
                <w:bCs/>
                <w:i w:val="0"/>
                <w:iCs w:val="0"/>
                <w:color w:val="333333"/>
                <w:spacing w:val="0"/>
                <w:sz w:val="24"/>
                <w:szCs w:val="24"/>
                <w:highlight w:val="none"/>
                <w:u w:val="none"/>
                <w:shd w:val="clear" w:fill="FFFFFF"/>
                <w:lang w:val="en-US" w:eastAsia="zh-CN"/>
              </w:rPr>
              <w:t>类似业绩：</w:t>
            </w:r>
          </w:p>
          <w:p w14:paraId="131DFC8E">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供应商提供2024年1月至投标截止时间段已完成或正在实施的类似业绩（以合同签订时间为准），每提供一个得2分，满分10分。</w:t>
            </w:r>
          </w:p>
          <w:p w14:paraId="36CA86EF">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注：1.类似业绩须含DNA检验试剂。</w:t>
            </w:r>
          </w:p>
          <w:p w14:paraId="256D2BC8">
            <w:pPr>
              <w:keepNext w:val="0"/>
              <w:keepLines w:val="0"/>
              <w:pageBreakBefore w:val="0"/>
              <w:kinsoku/>
              <w:wordWrap/>
              <w:overflowPunct/>
              <w:topLinePunct w:val="0"/>
              <w:autoSpaceDE/>
              <w:autoSpaceDN/>
              <w:bidi w:val="0"/>
              <w:adjustRightInd/>
              <w:spacing w:before="0" w:beforeAutospacing="0" w:afterAutospacing="0" w:line="360" w:lineRule="auto"/>
              <w:ind w:left="0" w:leftChars="0" w:firstLine="480" w:firstLineChars="200"/>
              <w:textAlignment w:val="auto"/>
              <w:rPr>
                <w:rStyle w:val="91"/>
                <w:rFonts w:hint="eastAsia" w:ascii="仿宋" w:hAnsi="仿宋" w:eastAsia="仿宋" w:cs="仿宋"/>
                <w:b w:val="0"/>
                <w:bCs w:val="0"/>
                <w:i w:val="0"/>
                <w:iCs w:val="0"/>
                <w:color w:val="333333"/>
                <w:spacing w:val="0"/>
                <w:sz w:val="24"/>
                <w:szCs w:val="24"/>
                <w:highlight w:val="none"/>
                <w:u w:val="none"/>
                <w:shd w:val="clear" w:fill="FFFFFF"/>
                <w:lang w:val="en-US" w:eastAsia="zh-CN"/>
              </w:rPr>
            </w:pPr>
            <w:r>
              <w:rPr>
                <w:rFonts w:hint="eastAsia" w:ascii="仿宋" w:hAnsi="仿宋" w:eastAsia="仿宋" w:cs="仿宋"/>
                <w:sz w:val="24"/>
                <w:szCs w:val="24"/>
                <w:highlight w:val="none"/>
                <w:lang w:val="en-US" w:eastAsia="zh-CN"/>
              </w:rPr>
              <w:t>2.提供合同关键页复印件（合同关键页是指：合同首尾页、甲乙双方签字盖章页、合同清单页、合同签订时间。）</w:t>
            </w:r>
          </w:p>
        </w:tc>
        <w:tc>
          <w:tcPr>
            <w:tcW w:w="748" w:type="pct"/>
            <w:tcBorders>
              <w:top w:val="single" w:color="auto" w:sz="4" w:space="0"/>
              <w:left w:val="single" w:color="000000" w:sz="4" w:space="0"/>
              <w:bottom w:val="single" w:color="auto" w:sz="4" w:space="0"/>
              <w:right w:val="single" w:color="000000" w:sz="4" w:space="0"/>
            </w:tcBorders>
            <w:shd w:val="clear" w:color="auto" w:fill="FFFFFF"/>
            <w:vAlign w:val="center"/>
          </w:tcPr>
          <w:p w14:paraId="01B41319">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0-10分</w:t>
            </w:r>
          </w:p>
          <w:p w14:paraId="3EDAFDDD">
            <w:pPr>
              <w:keepNext w:val="0"/>
              <w:keepLines w:val="0"/>
              <w:pageBreakBefore w:val="0"/>
              <w:widowControl/>
              <w:tabs>
                <w:tab w:val="center" w:pos="650"/>
                <w:tab w:val="right" w:pos="1180"/>
              </w:tabs>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lang w:val="en-US" w:eastAsia="zh-CN"/>
              </w:rPr>
            </w:pPr>
            <w:r>
              <w:rPr>
                <w:rStyle w:val="111"/>
                <w:rFonts w:hint="eastAsia" w:ascii="仿宋" w:hAnsi="仿宋" w:eastAsia="仿宋" w:cs="仿宋"/>
                <w:kern w:val="2"/>
                <w:sz w:val="24"/>
                <w:szCs w:val="24"/>
                <w:highlight w:val="none"/>
                <w:lang w:val="en-US" w:eastAsia="zh-CN"/>
              </w:rPr>
              <w:t>（客观分）</w:t>
            </w:r>
          </w:p>
        </w:tc>
        <w:tc>
          <w:tcPr>
            <w:tcW w:w="316" w:type="pct"/>
            <w:tcBorders>
              <w:top w:val="single" w:color="auto" w:sz="4" w:space="0"/>
              <w:left w:val="single" w:color="000000" w:sz="4" w:space="0"/>
              <w:bottom w:val="single" w:color="auto" w:sz="4" w:space="0"/>
              <w:right w:val="single" w:color="000000" w:sz="4" w:space="0"/>
            </w:tcBorders>
            <w:shd w:val="clear" w:color="auto" w:fill="FFFFFF"/>
            <w:vAlign w:val="center"/>
          </w:tcPr>
          <w:p w14:paraId="0313CFDF">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nil"/>
              <w:bottom w:val="single" w:color="auto" w:sz="4" w:space="0"/>
              <w:right w:val="single" w:color="000000" w:sz="4" w:space="0"/>
            </w:tcBorders>
            <w:shd w:val="clear" w:color="auto" w:fill="FFFFFF"/>
            <w:vAlign w:val="center"/>
          </w:tcPr>
          <w:p w14:paraId="3ECDC580">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nil"/>
              <w:bottom w:val="single" w:color="auto" w:sz="4" w:space="0"/>
              <w:right w:val="single" w:color="000000" w:sz="4" w:space="0"/>
            </w:tcBorders>
            <w:shd w:val="clear" w:color="auto" w:fill="FFFFFF"/>
            <w:vAlign w:val="center"/>
          </w:tcPr>
          <w:p w14:paraId="7BD5BD56">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nil"/>
              <w:bottom w:val="single" w:color="auto" w:sz="4" w:space="0"/>
              <w:right w:val="single" w:color="auto" w:sz="4" w:space="0"/>
            </w:tcBorders>
            <w:shd w:val="clear" w:color="auto" w:fill="FFFFFF"/>
            <w:vAlign w:val="center"/>
          </w:tcPr>
          <w:p w14:paraId="34320D47">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4C082010">
        <w:tblPrEx>
          <w:tblCellMar>
            <w:top w:w="0" w:type="dxa"/>
            <w:left w:w="0" w:type="dxa"/>
            <w:bottom w:w="0" w:type="dxa"/>
            <w:right w:w="0" w:type="dxa"/>
          </w:tblCellMar>
        </w:tblPrEx>
        <w:trPr>
          <w:trHeight w:val="465" w:hRule="atLeast"/>
          <w:jc w:val="center"/>
        </w:trPr>
        <w:tc>
          <w:tcPr>
            <w:tcW w:w="3019"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42348E94">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rPr>
              <w:t>得分</w:t>
            </w:r>
          </w:p>
        </w:tc>
        <w:tc>
          <w:tcPr>
            <w:tcW w:w="748" w:type="pct"/>
            <w:tcBorders>
              <w:top w:val="single" w:color="auto" w:sz="4" w:space="0"/>
              <w:left w:val="nil"/>
              <w:bottom w:val="single" w:color="000000" w:sz="4" w:space="0"/>
              <w:right w:val="single" w:color="000000" w:sz="4" w:space="0"/>
            </w:tcBorders>
            <w:shd w:val="clear" w:color="auto" w:fill="FFFFFF"/>
            <w:vAlign w:val="center"/>
          </w:tcPr>
          <w:p w14:paraId="76243EE7">
            <w:pPr>
              <w:keepNext w:val="0"/>
              <w:keepLines w:val="0"/>
              <w:pageBreakBefore w:val="0"/>
              <w:widowControl/>
              <w:wordWrap/>
              <w:overflowPunct/>
              <w:topLinePunct w:val="0"/>
              <w:bidi w:val="0"/>
              <w:adjustRightInd/>
              <w:spacing w:beforeAutospacing="0" w:afterAutospacing="0" w:line="360" w:lineRule="auto"/>
              <w:ind w:left="0" w:firstLine="0" w:firstLineChars="0"/>
              <w:jc w:val="center"/>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rPr>
              <w:t>100分</w:t>
            </w:r>
          </w:p>
        </w:tc>
        <w:tc>
          <w:tcPr>
            <w:tcW w:w="316" w:type="pct"/>
            <w:tcBorders>
              <w:top w:val="single" w:color="auto" w:sz="4" w:space="0"/>
              <w:left w:val="nil"/>
              <w:bottom w:val="single" w:color="000000" w:sz="4" w:space="0"/>
              <w:right w:val="single" w:color="000000" w:sz="4" w:space="0"/>
            </w:tcBorders>
            <w:shd w:val="clear" w:color="auto" w:fill="FFFFFF"/>
            <w:vAlign w:val="center"/>
          </w:tcPr>
          <w:p w14:paraId="53FC4AE0">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07" w:type="pct"/>
            <w:tcBorders>
              <w:top w:val="single" w:color="auto" w:sz="4" w:space="0"/>
              <w:left w:val="nil"/>
              <w:bottom w:val="single" w:color="000000" w:sz="4" w:space="0"/>
              <w:right w:val="single" w:color="000000" w:sz="4" w:space="0"/>
            </w:tcBorders>
            <w:shd w:val="clear" w:color="auto" w:fill="FFFFFF"/>
            <w:vAlign w:val="center"/>
          </w:tcPr>
          <w:p w14:paraId="7A5A7AE5">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312" w:type="pct"/>
            <w:tcBorders>
              <w:top w:val="single" w:color="auto" w:sz="4" w:space="0"/>
              <w:left w:val="nil"/>
              <w:bottom w:val="single" w:color="000000" w:sz="4" w:space="0"/>
              <w:right w:val="single" w:color="000000" w:sz="4" w:space="0"/>
            </w:tcBorders>
            <w:shd w:val="clear" w:color="auto" w:fill="FFFFFF"/>
            <w:vAlign w:val="center"/>
          </w:tcPr>
          <w:p w14:paraId="71525E74">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c>
          <w:tcPr>
            <w:tcW w:w="294" w:type="pct"/>
            <w:tcBorders>
              <w:top w:val="single" w:color="auto" w:sz="4" w:space="0"/>
              <w:left w:val="nil"/>
              <w:bottom w:val="single" w:color="000000" w:sz="4" w:space="0"/>
              <w:right w:val="single" w:color="000000" w:sz="4" w:space="0"/>
            </w:tcBorders>
            <w:shd w:val="clear" w:color="auto" w:fill="FFFFFF"/>
            <w:vAlign w:val="center"/>
          </w:tcPr>
          <w:p w14:paraId="1533B6BA">
            <w:pPr>
              <w:keepNext w:val="0"/>
              <w:keepLines w:val="0"/>
              <w:pageBreakBefore w:val="0"/>
              <w:widowControl/>
              <w:wordWrap/>
              <w:overflowPunct/>
              <w:topLinePunct w:val="0"/>
              <w:bidi w:val="0"/>
              <w:adjustRightInd/>
              <w:spacing w:beforeAutospacing="0" w:afterAutospacing="0" w:line="360" w:lineRule="auto"/>
              <w:ind w:left="0" w:firstLine="0" w:firstLineChars="0"/>
              <w:rPr>
                <w:rStyle w:val="111"/>
                <w:rFonts w:hint="eastAsia" w:ascii="仿宋" w:hAnsi="仿宋" w:eastAsia="仿宋" w:cs="仿宋"/>
                <w:kern w:val="2"/>
                <w:sz w:val="24"/>
                <w:szCs w:val="24"/>
                <w:highlight w:val="none"/>
              </w:rPr>
            </w:pPr>
          </w:p>
        </w:tc>
      </w:tr>
      <w:tr w14:paraId="70F0A479">
        <w:tblPrEx>
          <w:tblCellMar>
            <w:top w:w="0" w:type="dxa"/>
            <w:left w:w="0" w:type="dxa"/>
            <w:bottom w:w="0" w:type="dxa"/>
            <w:right w:w="0" w:type="dxa"/>
          </w:tblCellMar>
        </w:tblPrEx>
        <w:trPr>
          <w:trHeight w:val="420" w:hRule="atLeast"/>
          <w:jc w:val="center"/>
        </w:trPr>
        <w:tc>
          <w:tcPr>
            <w:tcW w:w="5000" w:type="pct"/>
            <w:gridSpan w:val="7"/>
            <w:tcBorders>
              <w:top w:val="nil"/>
              <w:left w:val="nil"/>
              <w:bottom w:val="nil"/>
              <w:right w:val="nil"/>
            </w:tcBorders>
            <w:shd w:val="clear" w:color="auto" w:fill="FFFFFF"/>
            <w:vAlign w:val="center"/>
          </w:tcPr>
          <w:p w14:paraId="1CAB1BD0">
            <w:pPr>
              <w:keepNext w:val="0"/>
              <w:keepLines w:val="0"/>
              <w:pageBreakBefore w:val="0"/>
              <w:widowControl/>
              <w:wordWrap/>
              <w:overflowPunct/>
              <w:topLinePunct w:val="0"/>
              <w:bidi w:val="0"/>
              <w:adjustRightInd/>
              <w:spacing w:beforeAutospacing="0" w:afterAutospacing="0" w:line="240" w:lineRule="auto"/>
              <w:ind w:left="0" w:firstLine="0" w:firstLineChars="0"/>
              <w:rPr>
                <w:rStyle w:val="111"/>
                <w:rFonts w:hint="eastAsia" w:ascii="仿宋" w:hAnsi="仿宋" w:eastAsia="仿宋" w:cs="仿宋"/>
                <w:kern w:val="2"/>
                <w:sz w:val="24"/>
                <w:szCs w:val="24"/>
                <w:highlight w:val="none"/>
              </w:rPr>
            </w:pPr>
            <w:r>
              <w:rPr>
                <w:rStyle w:val="111"/>
                <w:rFonts w:hint="eastAsia" w:ascii="仿宋" w:hAnsi="仿宋" w:eastAsia="仿宋" w:cs="仿宋"/>
                <w:kern w:val="2"/>
                <w:sz w:val="24"/>
                <w:szCs w:val="24"/>
                <w:highlight w:val="none"/>
                <w:lang w:eastAsia="zh-CN"/>
              </w:rPr>
              <w:t>磋商小组</w:t>
            </w:r>
            <w:r>
              <w:rPr>
                <w:rStyle w:val="111"/>
                <w:rFonts w:hint="eastAsia" w:ascii="仿宋" w:hAnsi="仿宋" w:eastAsia="仿宋" w:cs="仿宋"/>
                <w:kern w:val="2"/>
                <w:sz w:val="24"/>
                <w:szCs w:val="24"/>
                <w:highlight w:val="none"/>
              </w:rPr>
              <w:t>（签字）：</w:t>
            </w:r>
          </w:p>
        </w:tc>
      </w:tr>
    </w:tbl>
    <w:p w14:paraId="647C39AA">
      <w:pPr>
        <w:keepNext w:val="0"/>
        <w:keepLines w:val="0"/>
        <w:pageBreakBefore w:val="0"/>
        <w:widowControl/>
        <w:wordWrap/>
        <w:overflowPunct/>
        <w:topLinePunct w:val="0"/>
        <w:bidi w:val="0"/>
        <w:adjustRightInd/>
        <w:spacing w:beforeAutospacing="0" w:afterAutospacing="0" w:line="360" w:lineRule="auto"/>
        <w:ind w:left="0" w:firstLine="562" w:firstLineChars="200"/>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br w:type="page"/>
      </w:r>
    </w:p>
    <w:p w14:paraId="5731E5A8">
      <w:pPr>
        <w:pStyle w:val="21"/>
        <w:keepNext w:val="0"/>
        <w:keepLines w:val="0"/>
        <w:pageBreakBefore w:val="0"/>
        <w:widowControl/>
        <w:wordWrap/>
        <w:overflowPunct/>
        <w:topLinePunct w:val="0"/>
        <w:bidi w:val="0"/>
        <w:adjustRightInd/>
        <w:spacing w:beforeAutospacing="0" w:afterAutospacing="0" w:line="360" w:lineRule="auto"/>
        <w:ind w:left="0" w:firstLine="560" w:firstLineChars="200"/>
        <w:rPr>
          <w:rFonts w:hint="eastAsia" w:ascii="仿宋" w:hAnsi="仿宋" w:eastAsia="仿宋" w:cs="仿宋"/>
          <w:kern w:val="1"/>
          <w:sz w:val="28"/>
          <w:szCs w:val="28"/>
          <w:highlight w:val="none"/>
          <w:lang w:val="en-US" w:eastAsia="en-US"/>
        </w:rPr>
        <w:sectPr>
          <w:pgSz w:w="11900" w:h="16820"/>
          <w:pgMar w:top="1417" w:right="1417" w:bottom="1417" w:left="1417" w:header="720" w:footer="720" w:gutter="0"/>
          <w:pgNumType w:fmt="decimal"/>
          <w:cols w:space="0" w:num="1"/>
          <w:rtlGutter w:val="0"/>
          <w:docGrid w:linePitch="1" w:charSpace="0"/>
        </w:sectPr>
      </w:pPr>
    </w:p>
    <w:p w14:paraId="36B596D0">
      <w:pPr>
        <w:widowControl/>
        <w:spacing w:before="0" w:beforeAutospacing="0" w:after="0" w:afterAutospacing="0"/>
        <w:jc w:val="left"/>
        <w:rPr>
          <w:rFonts w:hint="eastAsia" w:ascii="仿宋" w:hAnsi="仿宋" w:eastAsia="仿宋" w:cs="仿宋"/>
          <w:color w:val="auto"/>
          <w:sz w:val="28"/>
          <w:szCs w:val="28"/>
          <w:highlight w:val="none"/>
        </w:rPr>
      </w:pPr>
      <w:bookmarkStart w:id="15" w:name="br1_14"/>
      <w:bookmarkEnd w:id="15"/>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.商务及技术评分表</w:t>
      </w:r>
    </w:p>
    <w:p w14:paraId="7F28D58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outlineLvl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.1分值构成：总分100分（权重值为100%）：</w:t>
      </w:r>
    </w:p>
    <w:p w14:paraId="3CE7B48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投标报价+商务及技术部分：100分</w:t>
      </w:r>
    </w:p>
    <w:p w14:paraId="40CC962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outlineLvl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.2评标总得分＝F1×A1＋F2×A2＋……＋Fn×An</w:t>
      </w:r>
    </w:p>
    <w:p w14:paraId="148E1D0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F1、F2……Fn分别为各项评审因素的得分；</w:t>
      </w:r>
    </w:p>
    <w:p w14:paraId="5F841FC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A1、A2、……An 分别为各项评审因素所占的权重(A1＋A2＋……＋An＝1)。</w:t>
      </w:r>
    </w:p>
    <w:p w14:paraId="3EDA40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.3每个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的最终得分为评标委员会成员评分的算术平均值，评分时</w:t>
      </w:r>
      <w:r>
        <w:rPr>
          <w:rFonts w:hint="eastAsia" w:ascii="仿宋" w:hAnsi="仿宋" w:eastAsia="仿宋" w:cs="仿宋"/>
          <w:color w:val="auto"/>
          <w:sz w:val="28"/>
          <w:szCs w:val="28"/>
          <w:highlight w:val="none"/>
          <w:lang w:eastAsia="zh-CN"/>
        </w:rPr>
        <w:t>涉及</w:t>
      </w:r>
      <w:r>
        <w:rPr>
          <w:rFonts w:hint="eastAsia" w:ascii="仿宋" w:hAnsi="仿宋" w:eastAsia="仿宋" w:cs="仿宋"/>
          <w:color w:val="auto"/>
          <w:sz w:val="28"/>
          <w:szCs w:val="28"/>
          <w:highlight w:val="none"/>
        </w:rPr>
        <w:t>计算的,保留小数点后两位数,小数点后第三位数四舍五入。</w:t>
      </w:r>
    </w:p>
    <w:p w14:paraId="448E18E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.4投标报价评分标准：价格分采用低价优先法计算，即满足招标文件要求且投标价格最低的投标报价为评标基准价，其价格分为满分，其他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w:t>
      </w:r>
    </w:p>
    <w:p w14:paraId="500BDC3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8" w:firstLineChars="19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投标报价得分=（</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基准价/</w:t>
      </w:r>
      <w:r>
        <w:rPr>
          <w:rFonts w:hint="eastAsia" w:ascii="仿宋" w:hAnsi="仿宋" w:eastAsia="仿宋" w:cs="仿宋"/>
          <w:color w:val="auto"/>
          <w:sz w:val="28"/>
          <w:szCs w:val="28"/>
          <w:highlight w:val="none"/>
          <w:lang w:val="en-US" w:eastAsia="zh-CN"/>
        </w:rPr>
        <w:t>最终磋商报价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p w14:paraId="29C80E0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1）在评标过程中，不得去掉报价中的最高报价和最低报价；因落实政府采购政策进行价格调整的，以调整后的价格计算评标基准价和投标报价。（2）货物类采购项目的价格分值占总分值的比重(即权值)为大于等于30％；服务类项目的价格分值占总分值的比重(即权值)为大于等于10％。执行统一价格标准的服务项目，其价格不列为评分因素。</w:t>
      </w:r>
    </w:p>
    <w:p w14:paraId="669DD7D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ascii="仿宋" w:hAnsi="仿宋" w:eastAsia="仿宋" w:cs="仿宋"/>
          <w:bCs/>
          <w:color w:val="auto"/>
          <w:sz w:val="28"/>
          <w:szCs w:val="28"/>
          <w:highlight w:val="none"/>
          <w:shd w:val="clear" w:color="auto" w:fill="FFFFFF"/>
        </w:rPr>
      </w:pPr>
      <w:r>
        <w:rPr>
          <w:rFonts w:hint="eastAsia" w:ascii="仿宋" w:hAnsi="仿宋" w:eastAsia="仿宋" w:cs="仿宋"/>
          <w:bCs/>
          <w:color w:val="auto"/>
          <w:sz w:val="28"/>
          <w:szCs w:val="28"/>
          <w:highlight w:val="none"/>
          <w:shd w:val="clear" w:color="auto" w:fill="FFFFFF"/>
          <w:lang w:val="en-US" w:eastAsia="zh-CN"/>
        </w:rPr>
        <w:t>5</w:t>
      </w:r>
      <w:r>
        <w:rPr>
          <w:rFonts w:hint="eastAsia" w:ascii="仿宋" w:hAnsi="仿宋" w:eastAsia="仿宋" w:cs="仿宋"/>
          <w:bCs/>
          <w:color w:val="auto"/>
          <w:sz w:val="28"/>
          <w:szCs w:val="28"/>
          <w:highlight w:val="none"/>
          <w:shd w:val="clear" w:color="auto" w:fill="FFFFFF"/>
        </w:rPr>
        <w:t>、采购项目需要落实的政府采购政策：</w:t>
      </w:r>
    </w:p>
    <w:p w14:paraId="7302F06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.1《政府采购促进中小企业发展暂行办法》财库〔2020〕46号；</w:t>
      </w:r>
    </w:p>
    <w:p w14:paraId="2579A79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hint="eastAsia" w:ascii="仿宋" w:hAnsi="仿宋" w:eastAsia="仿宋" w:cs="仿宋"/>
          <w:color w:val="auto"/>
          <w:kern w:val="0"/>
          <w:sz w:val="28"/>
          <w:szCs w:val="28"/>
          <w:highlight w:val="none"/>
          <w:lang w:val="en-US" w:eastAsia="en-US" w:bidi="ar-SA"/>
        </w:rPr>
      </w:pPr>
      <w:r>
        <w:rPr>
          <w:rFonts w:hint="eastAsia" w:ascii="仿宋" w:hAnsi="仿宋" w:eastAsia="仿宋" w:cs="仿宋"/>
          <w:color w:val="auto"/>
          <w:kern w:val="0"/>
          <w:sz w:val="28"/>
          <w:szCs w:val="28"/>
          <w:highlight w:val="none"/>
          <w:lang w:val="en-US" w:eastAsia="zh-CN" w:bidi="ar-SA"/>
        </w:rPr>
        <w:t>5</w:t>
      </w:r>
      <w:r>
        <w:rPr>
          <w:rFonts w:hint="eastAsia" w:ascii="仿宋" w:hAnsi="仿宋" w:eastAsia="仿宋" w:cs="仿宋"/>
          <w:color w:val="auto"/>
          <w:kern w:val="0"/>
          <w:sz w:val="28"/>
          <w:szCs w:val="28"/>
          <w:highlight w:val="none"/>
          <w:lang w:val="en-US" w:eastAsia="en-US" w:bidi="ar-SA"/>
        </w:rPr>
        <w:t>.2《财政部、司法部关于政府采购支持监狱企业有关发展问题的通知》财库</w:t>
      </w:r>
      <w:r>
        <w:rPr>
          <w:rFonts w:hint="eastAsia" w:ascii="仿宋" w:hAnsi="仿宋" w:eastAsia="仿宋" w:cs="仿宋"/>
          <w:color w:val="auto"/>
          <w:kern w:val="0"/>
          <w:sz w:val="28"/>
          <w:szCs w:val="28"/>
          <w:highlight w:val="none"/>
          <w:lang w:val="en-US" w:eastAsia="zh-CN" w:bidi="ar-SA"/>
        </w:rPr>
        <w:t>〔2014〕68号</w:t>
      </w:r>
      <w:r>
        <w:rPr>
          <w:rFonts w:hint="eastAsia" w:ascii="仿宋" w:hAnsi="仿宋" w:eastAsia="仿宋" w:cs="仿宋"/>
          <w:color w:val="auto"/>
          <w:kern w:val="0"/>
          <w:sz w:val="28"/>
          <w:szCs w:val="28"/>
          <w:highlight w:val="none"/>
          <w:lang w:val="en-US" w:eastAsia="en-US" w:bidi="ar-SA"/>
        </w:rPr>
        <w:t>；</w:t>
      </w:r>
    </w:p>
    <w:p w14:paraId="609246F6">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hint="eastAsia" w:ascii="仿宋" w:hAnsi="仿宋" w:eastAsia="仿宋" w:cs="仿宋"/>
          <w:color w:val="auto"/>
          <w:kern w:val="0"/>
          <w:sz w:val="28"/>
          <w:szCs w:val="28"/>
          <w:highlight w:val="none"/>
          <w:lang w:val="en-US" w:eastAsia="en-US" w:bidi="ar-SA"/>
        </w:rPr>
      </w:pPr>
      <w:r>
        <w:rPr>
          <w:rFonts w:hint="eastAsia" w:ascii="仿宋" w:hAnsi="仿宋" w:eastAsia="仿宋" w:cs="仿宋"/>
          <w:color w:val="auto"/>
          <w:kern w:val="0"/>
          <w:sz w:val="28"/>
          <w:szCs w:val="28"/>
          <w:highlight w:val="none"/>
          <w:lang w:val="en-US" w:eastAsia="zh-CN" w:bidi="ar-SA"/>
        </w:rPr>
        <w:t>5</w:t>
      </w:r>
      <w:r>
        <w:rPr>
          <w:rFonts w:hint="eastAsia" w:ascii="仿宋" w:hAnsi="仿宋" w:eastAsia="仿宋" w:cs="仿宋"/>
          <w:color w:val="auto"/>
          <w:kern w:val="0"/>
          <w:sz w:val="28"/>
          <w:szCs w:val="28"/>
          <w:highlight w:val="none"/>
          <w:lang w:val="en-US" w:eastAsia="en-US" w:bidi="ar-SA"/>
        </w:rPr>
        <w:t>.3《关于促进残疾人就业政府采购政策的通知》财库</w:t>
      </w:r>
      <w:r>
        <w:rPr>
          <w:rFonts w:hint="eastAsia" w:ascii="仿宋" w:hAnsi="仿宋" w:eastAsia="仿宋" w:cs="仿宋"/>
          <w:color w:val="auto"/>
          <w:kern w:val="0"/>
          <w:sz w:val="28"/>
          <w:szCs w:val="28"/>
          <w:highlight w:val="none"/>
          <w:lang w:val="en-US" w:eastAsia="zh-CN" w:bidi="ar-SA"/>
        </w:rPr>
        <w:t>〔2017〕141号</w:t>
      </w:r>
      <w:r>
        <w:rPr>
          <w:rFonts w:hint="eastAsia" w:ascii="仿宋" w:hAnsi="仿宋" w:eastAsia="仿宋" w:cs="仿宋"/>
          <w:color w:val="auto"/>
          <w:kern w:val="0"/>
          <w:sz w:val="28"/>
          <w:szCs w:val="28"/>
          <w:highlight w:val="none"/>
          <w:lang w:val="en-US" w:eastAsia="en-US" w:bidi="ar-SA"/>
        </w:rPr>
        <w:t>；</w:t>
      </w:r>
    </w:p>
    <w:p w14:paraId="7230111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hint="eastAsia" w:ascii="仿宋" w:hAnsi="仿宋" w:eastAsia="仿宋" w:cs="仿宋"/>
          <w:color w:val="auto"/>
          <w:kern w:val="0"/>
          <w:sz w:val="28"/>
          <w:szCs w:val="28"/>
          <w:highlight w:val="none"/>
          <w:lang w:val="en-US" w:eastAsia="en-US" w:bidi="ar-SA"/>
        </w:rPr>
      </w:pPr>
      <w:r>
        <w:rPr>
          <w:rFonts w:hint="eastAsia" w:ascii="仿宋" w:hAnsi="仿宋" w:eastAsia="仿宋" w:cs="仿宋"/>
          <w:color w:val="auto"/>
          <w:kern w:val="0"/>
          <w:sz w:val="28"/>
          <w:szCs w:val="28"/>
          <w:highlight w:val="none"/>
          <w:lang w:val="en-US" w:eastAsia="zh-CN" w:bidi="ar-SA"/>
        </w:rPr>
        <w:t>6</w:t>
      </w:r>
      <w:r>
        <w:rPr>
          <w:rFonts w:hint="eastAsia" w:ascii="仿宋" w:hAnsi="仿宋" w:eastAsia="仿宋" w:cs="仿宋"/>
          <w:color w:val="auto"/>
          <w:kern w:val="0"/>
          <w:sz w:val="28"/>
          <w:szCs w:val="28"/>
          <w:highlight w:val="none"/>
          <w:lang w:val="en-US" w:eastAsia="en-US" w:bidi="ar-SA"/>
        </w:rPr>
        <w:t>、中小企业价格扣除及政策加分：</w:t>
      </w:r>
      <w:r>
        <w:rPr>
          <w:rFonts w:hint="eastAsia" w:ascii="仿宋" w:hAnsi="仿宋" w:eastAsia="仿宋" w:cs="仿宋"/>
          <w:b/>
          <w:bCs/>
          <w:color w:val="auto"/>
          <w:kern w:val="0"/>
          <w:sz w:val="28"/>
          <w:szCs w:val="28"/>
          <w:highlight w:val="none"/>
          <w:lang w:val="en-US" w:eastAsia="zh-CN" w:bidi="ar-SA"/>
        </w:rPr>
        <w:t>（</w:t>
      </w: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u w:val="none"/>
          <w:lang w:val="en-US" w:eastAsia="zh-CN"/>
        </w:rPr>
        <w:t>专门</w:t>
      </w:r>
      <w:r>
        <w:rPr>
          <w:rFonts w:hint="eastAsia" w:ascii="仿宋" w:hAnsi="仿宋" w:eastAsia="仿宋" w:cs="仿宋"/>
          <w:b/>
          <w:bCs/>
          <w:sz w:val="28"/>
          <w:szCs w:val="28"/>
          <w:highlight w:val="none"/>
          <w:lang w:val="en-US" w:eastAsia="zh-CN"/>
        </w:rPr>
        <w:t>面向中小微企业采购，专门面向中小企业采购的项目不在执行价格扣除优惠</w:t>
      </w:r>
      <w:r>
        <w:rPr>
          <w:rFonts w:hint="eastAsia" w:ascii="仿宋" w:hAnsi="仿宋" w:eastAsia="仿宋" w:cs="仿宋"/>
          <w:b/>
          <w:bCs/>
          <w:color w:val="auto"/>
          <w:kern w:val="0"/>
          <w:sz w:val="28"/>
          <w:szCs w:val="28"/>
          <w:highlight w:val="none"/>
          <w:lang w:val="en-US" w:eastAsia="zh-CN" w:bidi="ar-SA"/>
        </w:rPr>
        <w:t>）</w:t>
      </w:r>
    </w:p>
    <w:p w14:paraId="13E8EC4A">
      <w:pPr>
        <w:pStyle w:val="177"/>
        <w:keepNext w:val="0"/>
        <w:keepLines w:val="0"/>
        <w:pageBreakBefore w:val="0"/>
        <w:widowControl/>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6.1根据《政府采购促进中小企业发展管理办法》财库〔2020〕46号、《关于进一步加大政府采购支持中小企业力度的通知》（财库〔2022〕19号）、</w:t>
      </w:r>
      <w:r>
        <w:rPr>
          <w:rFonts w:hint="eastAsia" w:ascii="仿宋" w:hAnsi="仿宋" w:eastAsia="仿宋" w:cs="仿宋"/>
          <w:color w:val="auto"/>
          <w:kern w:val="2"/>
          <w:sz w:val="28"/>
          <w:szCs w:val="28"/>
          <w:highlight w:val="none"/>
          <w:shd w:val="clear" w:color="auto" w:fill="FFFFFF"/>
          <w:lang w:val="en-US" w:eastAsia="zh-CN" w:bidi="ar-SA"/>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根据财库〔2017〕141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r>
        <w:rPr>
          <w:rFonts w:hint="eastAsia" w:ascii="仿宋" w:hAnsi="仿宋" w:eastAsia="仿宋" w:cs="仿宋"/>
          <w:color w:val="auto"/>
          <w:sz w:val="28"/>
          <w:szCs w:val="28"/>
          <w:highlight w:val="none"/>
          <w:shd w:val="clear" w:color="auto" w:fill="FFFFFF"/>
          <w:lang w:val="en-US" w:eastAsia="zh-CN"/>
        </w:rPr>
        <w:t>在技术、商务等均满足采购需求的前提下，本项目对享受价格扣除政策企业（小微企业）的服务给予</w:t>
      </w:r>
      <w:r>
        <w:rPr>
          <w:rFonts w:hint="eastAsia" w:ascii="仿宋" w:hAnsi="仿宋" w:eastAsia="仿宋" w:cs="仿宋"/>
          <w:color w:val="auto"/>
          <w:sz w:val="28"/>
          <w:szCs w:val="28"/>
          <w:highlight w:val="none"/>
          <w:u w:val="single"/>
          <w:shd w:val="clear" w:color="auto" w:fill="FFFFFF"/>
          <w:lang w:val="en-US" w:eastAsia="zh-CN"/>
        </w:rPr>
        <w:t>10</w:t>
      </w:r>
      <w:r>
        <w:rPr>
          <w:rFonts w:hint="eastAsia" w:ascii="仿宋" w:hAnsi="仿宋" w:eastAsia="仿宋" w:cs="仿宋"/>
          <w:color w:val="auto"/>
          <w:sz w:val="28"/>
          <w:szCs w:val="28"/>
          <w:highlight w:val="none"/>
          <w:shd w:val="clear" w:color="auto" w:fill="FFFFFF"/>
          <w:lang w:val="en-US" w:eastAsia="zh-CN"/>
        </w:rPr>
        <w:t>%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10%—20%（由采购人或代理机构确定具体数值）的扣除，用扣除后的价格参加评审。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由采购人或代理机构确定具体数值）的扣除，用扣除后的价格参加评审)。</w:t>
      </w:r>
    </w:p>
    <w:p w14:paraId="47C70F9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 xml:space="preserve">组成联合体或者接受分包的小微企业与联合体内其他企业、分包企业之间存在直接控股、管理关系的，不享受价格扣除优惠政策。 </w:t>
      </w:r>
    </w:p>
    <w:p w14:paraId="43A6A66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中小企业划分标准依照工业和信息化部、国家统计局、国家发展和改革委员会、财政部联合下发的《关于印发中小企业划型标准规定的通知》（工信部联企业《2011》300 号）执行；本项目所属行业为“未列明行业”。价格扣除只针对投标报价未超过财政控制值的供应商有效。</w:t>
      </w:r>
    </w:p>
    <w:p w14:paraId="2B33B9CF">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bCs/>
          <w:sz w:val="28"/>
          <w:szCs w:val="28"/>
          <w:highlight w:val="none"/>
          <w:u w:val="none"/>
          <w:lang w:val="en-US" w:eastAsia="zh-CN"/>
        </w:rPr>
        <w:t>二、</w:t>
      </w:r>
      <w:r>
        <w:rPr>
          <w:rFonts w:hint="eastAsia" w:ascii="仿宋" w:hAnsi="仿宋" w:eastAsia="仿宋" w:cs="仿宋"/>
          <w:b/>
          <w:bCs/>
          <w:sz w:val="28"/>
          <w:szCs w:val="28"/>
          <w:highlight w:val="none"/>
        </w:rPr>
        <w:t>合同管理安排</w:t>
      </w:r>
    </w:p>
    <w:p w14:paraId="20C8CE0A">
      <w:pPr>
        <w:pStyle w:val="4"/>
        <w:keepNext w:val="0"/>
        <w:keepLines w:val="0"/>
        <w:pageBreakBefore w:val="0"/>
        <w:widowControl/>
        <w:numPr>
          <w:ilvl w:val="0"/>
          <w:numId w:val="19"/>
        </w:numPr>
        <w:kinsoku/>
        <w:wordWrap/>
        <w:overflowPunct/>
        <w:topLinePunct w:val="0"/>
        <w:autoSpaceDE/>
        <w:autoSpaceDN/>
        <w:bidi w:val="0"/>
        <w:adjustRightInd/>
        <w:snapToGrid/>
        <w:spacing w:before="0" w:after="0" w:line="360" w:lineRule="auto"/>
        <w:ind w:left="0" w:leftChars="0" w:firstLine="562" w:firstLineChars="200"/>
        <w:jc w:val="both"/>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合同类型（按照民法典规定的典型合同类别，</w:t>
      </w:r>
      <w:r>
        <w:rPr>
          <w:rFonts w:hint="eastAsia" w:ascii="仿宋" w:hAnsi="仿宋" w:eastAsia="仿宋" w:cs="仿宋"/>
          <w:sz w:val="28"/>
          <w:szCs w:val="28"/>
          <w:highlight w:val="none"/>
          <w:lang w:val="en-US" w:eastAsia="zh-CN"/>
        </w:rPr>
        <w:t>结合采购标的实际情况确定，本项目适用“服务类合同”</w:t>
      </w:r>
      <w:r>
        <w:rPr>
          <w:rFonts w:hint="eastAsia" w:ascii="仿宋" w:hAnsi="仿宋" w:eastAsia="仿宋" w:cs="仿宋"/>
          <w:sz w:val="28"/>
          <w:szCs w:val="28"/>
          <w:highlight w:val="none"/>
        </w:rPr>
        <w:t>）</w:t>
      </w:r>
      <w:r>
        <w:rPr>
          <w:rFonts w:hint="eastAsia" w:ascii="仿宋" w:hAnsi="仿宋" w:eastAsia="仿宋" w:cs="仿宋"/>
          <w:color w:val="000000"/>
          <w:sz w:val="28"/>
          <w:szCs w:val="28"/>
          <w:highlight w:val="none"/>
        </w:rPr>
        <w:t>政府采购合同（</w:t>
      </w:r>
      <w:r>
        <w:rPr>
          <w:rFonts w:hint="eastAsia" w:ascii="仿宋" w:hAnsi="仿宋" w:eastAsia="仿宋" w:cs="仿宋"/>
          <w:sz w:val="28"/>
          <w:szCs w:val="28"/>
          <w:highlight w:val="none"/>
          <w:lang w:val="en-US" w:eastAsia="zh-CN"/>
        </w:rPr>
        <w:t>服务</w:t>
      </w:r>
      <w:r>
        <w:rPr>
          <w:rFonts w:hint="eastAsia" w:ascii="仿宋" w:hAnsi="仿宋" w:eastAsia="仿宋" w:cs="仿宋"/>
          <w:color w:val="000000"/>
          <w:sz w:val="28"/>
          <w:szCs w:val="28"/>
          <w:highlight w:val="none"/>
        </w:rPr>
        <w:t>类）</w:t>
      </w:r>
    </w:p>
    <w:p w14:paraId="5F6F699A">
      <w:pPr>
        <w:pStyle w:val="4"/>
        <w:keepNext w:val="0"/>
        <w:keepLines w:val="0"/>
        <w:pageBreakBefore w:val="0"/>
        <w:widowControl/>
        <w:numPr>
          <w:ilvl w:val="0"/>
          <w:numId w:val="19"/>
        </w:numPr>
        <w:kinsoku/>
        <w:wordWrap/>
        <w:overflowPunct/>
        <w:topLinePunct w:val="0"/>
        <w:autoSpaceDE/>
        <w:autoSpaceDN/>
        <w:bidi w:val="0"/>
        <w:adjustRightInd/>
        <w:snapToGrid/>
        <w:spacing w:before="0" w:after="0" w:line="360" w:lineRule="auto"/>
        <w:ind w:left="0" w:leftChars="0" w:firstLine="562"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定价方式（定价方式可单一或组合定价）</w:t>
      </w:r>
    </w:p>
    <w:p w14:paraId="6409CE6C">
      <w:pPr>
        <w:pStyle w:val="34"/>
        <w:keepNext w:val="0"/>
        <w:keepLines w:val="0"/>
        <w:pageBreakBefore w:val="0"/>
        <w:widowControl/>
        <w:kinsoku/>
        <w:wordWrap/>
        <w:overflowPunct/>
        <w:topLinePunct w:val="0"/>
        <w:autoSpaceDE/>
        <w:autoSpaceDN/>
        <w:bidi w:val="0"/>
        <w:adjustRightInd/>
        <w:snapToGrid/>
        <w:spacing w:before="0" w:after="0" w:afterLines="0" w:line="360" w:lineRule="auto"/>
        <w:ind w:lef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固定总价</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 xml:space="preserve"> 固定单价</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成本补偿□绩效激励□</w:t>
      </w:r>
    </w:p>
    <w:p w14:paraId="6078EE27">
      <w:pPr>
        <w:pStyle w:val="4"/>
        <w:keepNext w:val="0"/>
        <w:keepLines w:val="0"/>
        <w:pageBreakBefore w:val="0"/>
        <w:widowControl/>
        <w:numPr>
          <w:ilvl w:val="0"/>
          <w:numId w:val="19"/>
        </w:numPr>
        <w:kinsoku/>
        <w:wordWrap/>
        <w:overflowPunct/>
        <w:topLinePunct w:val="0"/>
        <w:autoSpaceDE/>
        <w:autoSpaceDN/>
        <w:bidi w:val="0"/>
        <w:adjustRightInd/>
        <w:snapToGrid/>
        <w:spacing w:before="0" w:after="0" w:line="360" w:lineRule="auto"/>
        <w:ind w:left="0" w:leftChars="0" w:firstLine="562"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合同主要条款（包括但不限于以下内容）</w:t>
      </w:r>
    </w:p>
    <w:p w14:paraId="7EC615ED">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lang w:eastAsia="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采购名称:</w:t>
      </w:r>
      <w:r>
        <w:rPr>
          <w:rFonts w:hint="eastAsia" w:ascii="仿宋" w:hAnsi="仿宋" w:eastAsia="仿宋" w:cs="仿宋"/>
          <w:color w:val="000000"/>
          <w:sz w:val="28"/>
          <w:szCs w:val="28"/>
          <w:highlight w:val="none"/>
          <w:lang w:eastAsia="zh-CN"/>
        </w:rPr>
        <w:t>违法人员建库项目</w:t>
      </w:r>
    </w:p>
    <w:p w14:paraId="6BF83FF8">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采购金额：</w:t>
      </w:r>
      <w:r>
        <w:rPr>
          <w:rFonts w:hint="eastAsia" w:ascii="仿宋" w:hAnsi="仿宋" w:eastAsia="仿宋" w:cs="仿宋"/>
          <w:color w:val="000000"/>
          <w:sz w:val="28"/>
          <w:szCs w:val="28"/>
          <w:highlight w:val="none"/>
          <w:lang w:val="en-US" w:eastAsia="zh-CN"/>
        </w:rPr>
        <w:t>1956375.00元。</w:t>
      </w:r>
    </w:p>
    <w:p w14:paraId="3555525F">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履约时间：</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后45天内</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86950</w:t>
      </w:r>
      <w:r>
        <w:rPr>
          <w:rFonts w:hint="eastAsia" w:ascii="仿宋" w:hAnsi="仿宋" w:eastAsia="仿宋" w:cs="仿宋"/>
          <w:color w:val="auto"/>
          <w:sz w:val="28"/>
          <w:szCs w:val="28"/>
          <w:highlight w:val="none"/>
        </w:rPr>
        <w:t>人份的违法人员DNA数据库建库，数据质量(分型准确、峰高、均衡性等)符合DNA数据库建设相关要求，数据量以最终导入数据库的数量为准。</w:t>
      </w:r>
    </w:p>
    <w:p w14:paraId="52C5FA0B">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地点和方式：</w:t>
      </w:r>
      <w:r>
        <w:rPr>
          <w:rFonts w:hint="eastAsia" w:ascii="仿宋" w:hAnsi="仿宋" w:eastAsia="仿宋" w:cs="仿宋"/>
          <w:color w:val="000000"/>
          <w:sz w:val="28"/>
          <w:szCs w:val="28"/>
          <w:highlight w:val="none"/>
          <w:lang w:val="en-US" w:eastAsia="zh-CN"/>
        </w:rPr>
        <w:t>采购人指定地点</w:t>
      </w:r>
      <w:r>
        <w:rPr>
          <w:rFonts w:hint="eastAsia" w:ascii="仿宋" w:hAnsi="仿宋" w:eastAsia="仿宋" w:cs="仿宋"/>
          <w:color w:val="000000"/>
          <w:sz w:val="28"/>
          <w:szCs w:val="28"/>
          <w:highlight w:val="none"/>
        </w:rPr>
        <w:t>。</w:t>
      </w:r>
    </w:p>
    <w:p w14:paraId="0308ECC8">
      <w:pPr>
        <w:keepNext w:val="0"/>
        <w:keepLines w:val="0"/>
        <w:pageBreakBefore w:val="0"/>
        <w:widowControl/>
        <w:kinsoku/>
        <w:wordWrap/>
        <w:overflowPunct/>
        <w:topLinePunct w:val="0"/>
        <w:autoSpaceDE/>
        <w:autoSpaceDN/>
        <w:bidi w:val="0"/>
        <w:adjustRightInd/>
        <w:spacing w:before="0" w:beforeAutospacing="0" w:afterAutospacing="0" w:line="360" w:lineRule="auto"/>
        <w:ind w:left="0" w:leftChars="0"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付款进度安排：</w:t>
      </w:r>
      <w:r>
        <w:rPr>
          <w:rFonts w:hint="eastAsia" w:ascii="仿宋" w:hAnsi="仿宋" w:eastAsia="仿宋" w:cs="仿宋"/>
          <w:kern w:val="0"/>
          <w:sz w:val="28"/>
          <w:szCs w:val="28"/>
          <w:highlight w:val="none"/>
          <w:lang w:val="en-US" w:eastAsia="zh-CN" w:bidi="ar"/>
        </w:rPr>
        <w:t>中标供应商完成86950人份的违法人员DNA数据库建库服务后，验收小组在国家数据库内进行验收，数据质量符合DNA数据库建设相关要求后，</w:t>
      </w:r>
      <w:r>
        <w:rPr>
          <w:rFonts w:hint="eastAsia" w:ascii="仿宋" w:hAnsi="仿宋" w:eastAsia="仿宋" w:cs="仿宋"/>
          <w:kern w:val="0"/>
          <w:sz w:val="28"/>
          <w:szCs w:val="28"/>
          <w:highlight w:val="none"/>
          <w:lang w:eastAsia="zh-CN" w:bidi="ar"/>
        </w:rPr>
        <w:t>采购人</w:t>
      </w:r>
      <w:r>
        <w:rPr>
          <w:rFonts w:hint="eastAsia" w:ascii="仿宋" w:hAnsi="仿宋" w:eastAsia="仿宋" w:cs="仿宋"/>
          <w:kern w:val="0"/>
          <w:sz w:val="28"/>
          <w:szCs w:val="28"/>
          <w:highlight w:val="none"/>
          <w:lang w:val="en-US" w:eastAsia="zh-CN" w:bidi="ar"/>
        </w:rPr>
        <w:t>支付全部合同金额</w:t>
      </w:r>
      <w:r>
        <w:rPr>
          <w:rFonts w:hint="eastAsia" w:ascii="仿宋" w:hAnsi="仿宋" w:eastAsia="仿宋" w:cs="仿宋"/>
          <w:kern w:val="0"/>
          <w:sz w:val="28"/>
          <w:szCs w:val="28"/>
          <w:highlight w:val="none"/>
          <w:lang w:eastAsia="zh-CN" w:bidi="ar"/>
        </w:rPr>
        <w:t>。</w:t>
      </w:r>
    </w:p>
    <w:p w14:paraId="5A232D71">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资金支付方式：</w:t>
      </w:r>
      <w:r>
        <w:rPr>
          <w:rFonts w:hint="eastAsia" w:ascii="仿宋" w:hAnsi="仿宋" w:eastAsia="仿宋" w:cs="仿宋"/>
          <w:b w:val="0"/>
          <w:i w:val="0"/>
          <w:spacing w:val="0"/>
          <w:w w:val="100"/>
          <w:sz w:val="28"/>
          <w:szCs w:val="28"/>
          <w:highlight w:val="none"/>
          <w:lang w:val="en-US" w:eastAsia="zh-CN"/>
        </w:rPr>
        <w:t>采用银行转账公对公付款形式</w:t>
      </w:r>
      <w:r>
        <w:rPr>
          <w:rFonts w:hint="eastAsia" w:ascii="仿宋" w:hAnsi="仿宋" w:eastAsia="仿宋" w:cs="仿宋"/>
          <w:color w:val="000000"/>
          <w:sz w:val="28"/>
          <w:szCs w:val="28"/>
          <w:highlight w:val="none"/>
        </w:rPr>
        <w:t>。</w:t>
      </w:r>
    </w:p>
    <w:p w14:paraId="5BE54630">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验收、交付标准和方法：</w:t>
      </w:r>
    </w:p>
    <w:p w14:paraId="600E89F6">
      <w:pPr>
        <w:pStyle w:val="21"/>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560" w:firstLineChars="200"/>
        <w:jc w:val="both"/>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符合国家与</w:t>
      </w:r>
      <w:r>
        <w:rPr>
          <w:rFonts w:hint="eastAsia" w:ascii="仿宋" w:hAnsi="仿宋" w:eastAsia="仿宋" w:cs="仿宋"/>
          <w:color w:val="auto"/>
          <w:sz w:val="28"/>
          <w:szCs w:val="28"/>
          <w:highlight w:val="none"/>
        </w:rPr>
        <w:t>行业相关标准</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sz w:val="28"/>
          <w:szCs w:val="28"/>
          <w:highlight w:val="none"/>
          <w:u w:val="none"/>
          <w:lang w:val="en-US" w:eastAsia="zh-CN"/>
        </w:rPr>
        <w:t>相关法律法规及技术规范、编制标准。如果颁发新的技术标准，则按新标准规定执行。</w:t>
      </w:r>
    </w:p>
    <w:p w14:paraId="673A567A">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8.采购</w:t>
      </w:r>
      <w:r>
        <w:rPr>
          <w:rFonts w:hint="eastAsia" w:ascii="仿宋" w:hAnsi="仿宋" w:eastAsia="仿宋" w:cs="仿宋"/>
          <w:color w:val="000000"/>
          <w:sz w:val="28"/>
          <w:szCs w:val="28"/>
          <w:highlight w:val="none"/>
        </w:rPr>
        <w:t>内容和质保期：</w:t>
      </w:r>
    </w:p>
    <w:p w14:paraId="5EF2A8BD">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color w:val="000000"/>
          <w:sz w:val="28"/>
          <w:szCs w:val="28"/>
          <w:highlight w:val="none"/>
          <w:lang w:val="en-US" w:eastAsia="en-US"/>
        </w:rPr>
      </w:pPr>
      <w:r>
        <w:rPr>
          <w:rFonts w:hint="eastAsia" w:ascii="仿宋" w:hAnsi="仿宋" w:eastAsia="仿宋" w:cs="仿宋"/>
          <w:color w:val="000000"/>
          <w:sz w:val="28"/>
          <w:szCs w:val="28"/>
          <w:highlight w:val="none"/>
          <w:lang w:val="en-US" w:eastAsia="zh-CN"/>
        </w:rPr>
        <w:t>8.1采购内容：完成86950人份的违法人员DNA数据库建库服务</w:t>
      </w:r>
      <w:r>
        <w:rPr>
          <w:rFonts w:hint="eastAsia" w:ascii="仿宋" w:hAnsi="仿宋" w:eastAsia="仿宋" w:cs="仿宋"/>
          <w:color w:val="000000"/>
          <w:sz w:val="28"/>
          <w:szCs w:val="28"/>
          <w:highlight w:val="none"/>
          <w:lang w:val="en-US" w:eastAsia="en-US"/>
        </w:rPr>
        <w:t>。</w:t>
      </w:r>
    </w:p>
    <w:p w14:paraId="714E04F0">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8.2质量保证期：1年</w:t>
      </w:r>
      <w:r>
        <w:rPr>
          <w:rFonts w:hint="eastAsia" w:ascii="仿宋" w:hAnsi="仿宋" w:eastAsia="仿宋" w:cs="仿宋"/>
          <w:color w:val="000000"/>
          <w:sz w:val="28"/>
          <w:szCs w:val="28"/>
          <w:highlight w:val="none"/>
        </w:rPr>
        <w:t>。</w:t>
      </w:r>
    </w:p>
    <w:p w14:paraId="5953D943">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违约责任与解决争议：在合同中拟定。</w:t>
      </w:r>
    </w:p>
    <w:p w14:paraId="16AB72AF">
      <w:pPr>
        <w:pStyle w:val="34"/>
        <w:keepNext w:val="0"/>
        <w:keepLines w:val="0"/>
        <w:pageBreakBefore w:val="0"/>
        <w:widowControl/>
        <w:kinsoku/>
        <w:wordWrap/>
        <w:overflowPunct/>
        <w:topLinePunct w:val="0"/>
        <w:autoSpaceDE/>
        <w:autoSpaceDN/>
        <w:bidi w:val="0"/>
        <w:adjustRightInd/>
        <w:snapToGrid/>
        <w:spacing w:before="0" w:after="0" w:afterLines="0" w:line="360" w:lineRule="auto"/>
        <w:ind w:lef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注：符合《政府采购需求管理办法》（财库〔2021〕22 号第十一条）规定的采购项目合同文本需经采购人聘请的法律顾问审定。</w:t>
      </w:r>
    </w:p>
    <w:p w14:paraId="741700D4">
      <w:pPr>
        <w:pStyle w:val="4"/>
        <w:keepNext w:val="0"/>
        <w:keepLines w:val="0"/>
        <w:pageBreakBefore w:val="0"/>
        <w:widowControl/>
        <w:numPr>
          <w:ilvl w:val="0"/>
          <w:numId w:val="19"/>
        </w:numPr>
        <w:kinsoku/>
        <w:wordWrap/>
        <w:overflowPunct/>
        <w:topLinePunct w:val="0"/>
        <w:autoSpaceDE/>
        <w:autoSpaceDN/>
        <w:bidi w:val="0"/>
        <w:adjustRightInd/>
        <w:snapToGrid/>
        <w:spacing w:before="0" w:after="0" w:line="360" w:lineRule="auto"/>
        <w:ind w:left="0" w:leftChars="0" w:firstLine="562"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履约验收方案</w:t>
      </w:r>
    </w:p>
    <w:p w14:paraId="36AD67C6">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履约验收</w:t>
      </w:r>
      <w:r>
        <w:rPr>
          <w:rFonts w:hint="eastAsia" w:ascii="仿宋" w:hAnsi="仿宋" w:eastAsia="仿宋" w:cs="仿宋"/>
          <w:color w:val="auto"/>
          <w:sz w:val="28"/>
          <w:szCs w:val="28"/>
          <w:highlight w:val="none"/>
          <w:lang w:val="en-US" w:eastAsia="zh-CN"/>
        </w:rPr>
        <w:t>主体：贵阳市公安局；</w:t>
      </w:r>
    </w:p>
    <w:p w14:paraId="20D15FB1">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履约验收</w:t>
      </w:r>
      <w:r>
        <w:rPr>
          <w:rFonts w:hint="eastAsia" w:ascii="仿宋" w:hAnsi="仿宋" w:eastAsia="仿宋" w:cs="仿宋"/>
          <w:color w:val="auto"/>
          <w:sz w:val="28"/>
          <w:szCs w:val="28"/>
          <w:highlight w:val="none"/>
          <w:lang w:val="en-US" w:eastAsia="zh-CN"/>
        </w:rPr>
        <w:t>时间：项目整体履约完成后；</w:t>
      </w:r>
    </w:p>
    <w:p w14:paraId="4DB9113E">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履约验收</w:t>
      </w:r>
      <w:r>
        <w:rPr>
          <w:rFonts w:hint="eastAsia" w:ascii="仿宋" w:hAnsi="仿宋" w:eastAsia="仿宋" w:cs="仿宋"/>
          <w:color w:val="auto"/>
          <w:sz w:val="28"/>
          <w:szCs w:val="28"/>
          <w:highlight w:val="none"/>
          <w:lang w:val="en-US" w:eastAsia="zh-CN"/>
        </w:rPr>
        <w:t>方式：</w:t>
      </w:r>
      <w:r>
        <w:rPr>
          <w:rFonts w:hint="eastAsia" w:ascii="仿宋" w:hAnsi="仿宋" w:eastAsia="仿宋" w:cs="仿宋"/>
          <w:color w:val="auto"/>
          <w:sz w:val="28"/>
          <w:szCs w:val="28"/>
          <w:highlight w:val="none"/>
        </w:rPr>
        <w:t>采购人或</w:t>
      </w:r>
      <w:r>
        <w:rPr>
          <w:rFonts w:hint="eastAsia" w:ascii="仿宋" w:hAnsi="仿宋" w:eastAsia="仿宋" w:cs="仿宋"/>
          <w:color w:val="auto"/>
          <w:sz w:val="28"/>
          <w:szCs w:val="28"/>
          <w:highlight w:val="none"/>
          <w:lang w:val="en-US" w:eastAsia="zh-CN"/>
        </w:rPr>
        <w:t>第三方</w:t>
      </w:r>
      <w:r>
        <w:rPr>
          <w:rFonts w:hint="eastAsia" w:ascii="仿宋" w:hAnsi="仿宋" w:eastAsia="仿宋" w:cs="仿宋"/>
          <w:color w:val="auto"/>
          <w:sz w:val="28"/>
          <w:szCs w:val="28"/>
          <w:highlight w:val="none"/>
        </w:rPr>
        <w:t>组成验收小组进行验收</w:t>
      </w:r>
      <w:r>
        <w:rPr>
          <w:rFonts w:hint="eastAsia" w:ascii="仿宋" w:hAnsi="仿宋" w:eastAsia="仿宋" w:cs="仿宋"/>
          <w:color w:val="auto"/>
          <w:sz w:val="28"/>
          <w:szCs w:val="28"/>
          <w:highlight w:val="none"/>
          <w:lang w:eastAsia="zh-CN"/>
        </w:rPr>
        <w:t>；</w:t>
      </w:r>
    </w:p>
    <w:p w14:paraId="41197E12">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履约验收</w:t>
      </w:r>
      <w:r>
        <w:rPr>
          <w:rFonts w:hint="eastAsia" w:ascii="仿宋" w:hAnsi="仿宋" w:eastAsia="仿宋" w:cs="仿宋"/>
          <w:color w:val="auto"/>
          <w:sz w:val="28"/>
          <w:szCs w:val="28"/>
          <w:highlight w:val="none"/>
          <w:lang w:val="en-US" w:eastAsia="zh-CN"/>
        </w:rPr>
        <w:t>程序：成交供应商提出验收申请，采购人按照验收标准进行验收。</w:t>
      </w:r>
    </w:p>
    <w:p w14:paraId="2C874802">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5.履约验收内容：采购文件、响应文件及合同中规定的内容。</w:t>
      </w:r>
    </w:p>
    <w:p w14:paraId="73CCDB75">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6.履约验收标准：（1）按照《财库〔2016〕205号财政部关于进一步加强政府采购需求和履约验收》要求执行。</w:t>
      </w:r>
    </w:p>
    <w:p w14:paraId="4C698E93">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（2）参照《贵阳市财政局关于加强政府采购履约验收管理工作有关问题的通知》(筑财采〔2022〕4号)要求执行。</w:t>
      </w:r>
    </w:p>
    <w:p w14:paraId="2C80ECDE">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（3）按照采购文件、响应文件、合同及采购人相关规定执行。</w:t>
      </w:r>
    </w:p>
    <w:p w14:paraId="39EF1E4B">
      <w:pPr>
        <w:pStyle w:val="34"/>
        <w:keepNext w:val="0"/>
        <w:keepLines w:val="0"/>
        <w:pageBreakBefore w:val="0"/>
        <w:kinsoku/>
        <w:wordWrap/>
        <w:overflowPunct/>
        <w:topLinePunct w:val="0"/>
        <w:autoSpaceDE/>
        <w:autoSpaceDN/>
        <w:bidi w:val="0"/>
        <w:adjustRightInd/>
        <w:snapToGrid/>
        <w:spacing w:before="0" w:after="0" w:afterLines="0" w:line="360" w:lineRule="auto"/>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7.其他：/</w:t>
      </w:r>
    </w:p>
    <w:p w14:paraId="4192AD6E">
      <w:pPr>
        <w:pStyle w:val="4"/>
        <w:keepNext w:val="0"/>
        <w:keepLines w:val="0"/>
        <w:pageBreakBefore w:val="0"/>
        <w:widowControl/>
        <w:numPr>
          <w:ilvl w:val="0"/>
          <w:numId w:val="19"/>
        </w:numPr>
        <w:kinsoku/>
        <w:wordWrap/>
        <w:overflowPunct/>
        <w:topLinePunct w:val="0"/>
        <w:autoSpaceDE/>
        <w:autoSpaceDN/>
        <w:bidi w:val="0"/>
        <w:adjustRightInd/>
        <w:snapToGrid/>
        <w:spacing w:before="0" w:after="0" w:line="360" w:lineRule="auto"/>
        <w:ind w:left="0" w:leftChars="0" w:firstLine="562" w:firstLineChars="200"/>
        <w:jc w:val="both"/>
        <w:rPr>
          <w:rFonts w:hint="eastAsia" w:ascii="仿宋" w:hAnsi="仿宋" w:eastAsia="仿宋" w:cs="仿宋"/>
          <w:b w:val="0"/>
          <w:sz w:val="28"/>
          <w:szCs w:val="28"/>
          <w:highlight w:val="none"/>
        </w:rPr>
      </w:pPr>
      <w:r>
        <w:rPr>
          <w:rFonts w:hint="eastAsia" w:ascii="仿宋" w:hAnsi="仿宋" w:eastAsia="仿宋" w:cs="仿宋"/>
          <w:sz w:val="28"/>
          <w:szCs w:val="28"/>
          <w:highlight w:val="none"/>
        </w:rPr>
        <w:t>风险管控措施</w:t>
      </w:r>
    </w:p>
    <w:p w14:paraId="561DA1BD">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国家政策变化：项目实施中如国家政策发生变化，</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无条件按国家政策执行。</w:t>
      </w:r>
    </w:p>
    <w:p w14:paraId="590D905F">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实施环境变化：本项目在实施期间实施环境发生实质性变化，</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无条件按国家相关</w:t>
      </w:r>
      <w:r>
        <w:rPr>
          <w:rFonts w:hint="eastAsia" w:ascii="仿宋" w:hAnsi="仿宋" w:eastAsia="仿宋" w:cs="仿宋"/>
          <w:color w:val="000000"/>
          <w:sz w:val="28"/>
          <w:szCs w:val="28"/>
          <w:highlight w:val="none"/>
          <w:lang w:eastAsia="zh-CN"/>
        </w:rPr>
        <w:t>法律法规</w:t>
      </w:r>
      <w:r>
        <w:rPr>
          <w:rFonts w:hint="eastAsia" w:ascii="仿宋" w:hAnsi="仿宋" w:eastAsia="仿宋" w:cs="仿宋"/>
          <w:color w:val="000000"/>
          <w:sz w:val="28"/>
          <w:szCs w:val="28"/>
          <w:highlight w:val="none"/>
        </w:rPr>
        <w:t>及政策执行。</w:t>
      </w:r>
    </w:p>
    <w:p w14:paraId="5F1785AE">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重大技术变化：本项目在实施期间发生重大技术变化，采购人与</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友好协商，协商不成的，按签订的合同中争议解决方式执行。</w:t>
      </w:r>
    </w:p>
    <w:p w14:paraId="25111F0C">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预算项目调整：</w:t>
      </w:r>
    </w:p>
    <w:p w14:paraId="2B0835D2">
      <w:pPr>
        <w:pStyle w:val="34"/>
        <w:keepNext w:val="0"/>
        <w:keepLines w:val="0"/>
        <w:pageBreakBefore w:val="0"/>
        <w:widowControl/>
        <w:numPr>
          <w:ilvl w:val="0"/>
          <w:numId w:val="2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采购公告未发布之前，项目预算调整，按调整后的预算采购；</w:t>
      </w:r>
    </w:p>
    <w:p w14:paraId="1FD29626">
      <w:pPr>
        <w:pStyle w:val="34"/>
        <w:keepNext w:val="0"/>
        <w:keepLines w:val="0"/>
        <w:pageBreakBefore w:val="0"/>
        <w:widowControl/>
        <w:numPr>
          <w:ilvl w:val="0"/>
          <w:numId w:val="2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采购公告发布之后，在项目开标前项目预算调整，项目废标。用调整后的预算重新组织采购；</w:t>
      </w:r>
    </w:p>
    <w:p w14:paraId="07D86993">
      <w:pPr>
        <w:pStyle w:val="34"/>
        <w:keepNext w:val="0"/>
        <w:keepLines w:val="0"/>
        <w:pageBreakBefore w:val="0"/>
        <w:widowControl/>
        <w:numPr>
          <w:ilvl w:val="0"/>
          <w:numId w:val="2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项目评标完毕，合同签订前项目预算调整，项目废标。用调整后的预算重新组织采购；</w:t>
      </w:r>
    </w:p>
    <w:p w14:paraId="46C6F131">
      <w:pPr>
        <w:pStyle w:val="34"/>
        <w:keepNext w:val="0"/>
        <w:keepLines w:val="0"/>
        <w:pageBreakBefore w:val="0"/>
        <w:widowControl/>
        <w:numPr>
          <w:ilvl w:val="0"/>
          <w:numId w:val="2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合同签订后项目预算调整的，采购人与</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友好协商，协商不成的，按签订的合同中争议解决方式执行。</w:t>
      </w:r>
    </w:p>
    <w:p w14:paraId="411B4F8C">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因质疑和投诉影响进度：</w:t>
      </w:r>
    </w:p>
    <w:p w14:paraId="78F6F394">
      <w:pPr>
        <w:pStyle w:val="34"/>
        <w:keepNext w:val="0"/>
        <w:keepLines w:val="0"/>
        <w:pageBreakBefore w:val="0"/>
        <w:widowControl/>
        <w:numPr>
          <w:ilvl w:val="0"/>
          <w:numId w:val="21"/>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采购文件严格</w:t>
      </w:r>
      <w:r>
        <w:rPr>
          <w:rFonts w:hint="eastAsia" w:ascii="仿宋" w:hAnsi="仿宋" w:eastAsia="仿宋" w:cs="仿宋"/>
          <w:color w:val="000000"/>
          <w:sz w:val="28"/>
          <w:szCs w:val="28"/>
          <w:highlight w:val="none"/>
          <w:lang w:eastAsia="zh-CN"/>
        </w:rPr>
        <w:t>按照</w:t>
      </w:r>
      <w:r>
        <w:rPr>
          <w:rFonts w:hint="eastAsia" w:ascii="仿宋" w:hAnsi="仿宋" w:eastAsia="仿宋" w:cs="仿宋"/>
          <w:color w:val="000000"/>
          <w:sz w:val="28"/>
          <w:szCs w:val="28"/>
          <w:highlight w:val="none"/>
        </w:rPr>
        <w:t>《中华人民共和国政府采购法》及其实施条例等相关</w:t>
      </w:r>
      <w:r>
        <w:rPr>
          <w:rFonts w:hint="eastAsia" w:ascii="仿宋" w:hAnsi="仿宋" w:eastAsia="仿宋" w:cs="仿宋"/>
          <w:color w:val="000000"/>
          <w:sz w:val="28"/>
          <w:szCs w:val="28"/>
          <w:highlight w:val="none"/>
          <w:lang w:eastAsia="zh-CN"/>
        </w:rPr>
        <w:t>法律法规</w:t>
      </w:r>
      <w:r>
        <w:rPr>
          <w:rFonts w:hint="eastAsia" w:ascii="仿宋" w:hAnsi="仿宋" w:eastAsia="仿宋" w:cs="仿宋"/>
          <w:color w:val="000000"/>
          <w:sz w:val="28"/>
          <w:szCs w:val="28"/>
          <w:highlight w:val="none"/>
        </w:rPr>
        <w:t>要求进行制作。</w:t>
      </w:r>
    </w:p>
    <w:p w14:paraId="12FA54FE">
      <w:pPr>
        <w:pStyle w:val="34"/>
        <w:keepNext w:val="0"/>
        <w:keepLines w:val="0"/>
        <w:pageBreakBefore w:val="0"/>
        <w:widowControl/>
        <w:numPr>
          <w:ilvl w:val="0"/>
          <w:numId w:val="21"/>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采购文件制作完毕后进行专家论证，对文件再次审核，在启动正式采购过程前最大可能杜绝质疑和投诉情况的发生。</w:t>
      </w:r>
    </w:p>
    <w:p w14:paraId="1AE75CCB">
      <w:pPr>
        <w:pStyle w:val="34"/>
        <w:keepNext w:val="0"/>
        <w:keepLines w:val="0"/>
        <w:pageBreakBefore w:val="0"/>
        <w:widowControl/>
        <w:numPr>
          <w:ilvl w:val="0"/>
          <w:numId w:val="21"/>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项目采购过程中因质疑和投诉，按《中华人民共和国财政部令第 94 号</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政府采购质疑和投诉办法》要求执行。</w:t>
      </w:r>
    </w:p>
    <w:p w14:paraId="1A4BDC9B">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采购失败：</w:t>
      </w:r>
    </w:p>
    <w:p w14:paraId="3C976FB7">
      <w:pPr>
        <w:pStyle w:val="34"/>
        <w:keepNext w:val="0"/>
        <w:keepLines w:val="0"/>
        <w:pageBreakBefore w:val="0"/>
        <w:widowControl/>
        <w:numPr>
          <w:ilvl w:val="0"/>
          <w:numId w:val="22"/>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如因</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报名家数不足三家或通过资格审查、符合性审查不足三家的，分析具体原因后再次发布公告进行采购。</w:t>
      </w:r>
    </w:p>
    <w:p w14:paraId="39104DCB">
      <w:pPr>
        <w:pStyle w:val="34"/>
        <w:keepNext w:val="0"/>
        <w:keepLines w:val="0"/>
        <w:pageBreakBefore w:val="0"/>
        <w:widowControl/>
        <w:numPr>
          <w:ilvl w:val="0"/>
          <w:numId w:val="22"/>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如因采购文件问题（含</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投诉成立监管部门要求废标的），分析具体原因并修改采购文件后再次发布公告进行采购。</w:t>
      </w:r>
    </w:p>
    <w:p w14:paraId="6A9F079B">
      <w:pPr>
        <w:pStyle w:val="34"/>
        <w:keepNext w:val="0"/>
        <w:keepLines w:val="0"/>
        <w:pageBreakBefore w:val="0"/>
        <w:widowControl/>
        <w:numPr>
          <w:ilvl w:val="0"/>
          <w:numId w:val="22"/>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rPr>
        <w:t>如因国家政策调整（采购项目取消）等不可抗力因素，项目采购结束。</w:t>
      </w:r>
    </w:p>
    <w:p w14:paraId="6A8E365B">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不按规定签订或者履行合同：按《中华人民共和国政府采购法》及其实施条例等相关法律法规规定执行。</w:t>
      </w:r>
    </w:p>
    <w:p w14:paraId="2F211E63">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出现损害国家利益和社会公共利益情形：按《中华人民共和国政府采购法》及其实施条例等相关</w:t>
      </w:r>
      <w:r>
        <w:rPr>
          <w:rFonts w:hint="eastAsia" w:ascii="仿宋" w:hAnsi="仿宋" w:eastAsia="仿宋" w:cs="仿宋"/>
          <w:color w:val="000000"/>
          <w:sz w:val="28"/>
          <w:szCs w:val="28"/>
          <w:highlight w:val="none"/>
          <w:lang w:eastAsia="zh-CN"/>
        </w:rPr>
        <w:t>法律法规</w:t>
      </w:r>
      <w:r>
        <w:rPr>
          <w:rFonts w:hint="eastAsia" w:ascii="仿宋" w:hAnsi="仿宋" w:eastAsia="仿宋" w:cs="仿宋"/>
          <w:color w:val="000000"/>
          <w:sz w:val="28"/>
          <w:szCs w:val="28"/>
          <w:highlight w:val="none"/>
        </w:rPr>
        <w:t>规定执行。</w:t>
      </w:r>
    </w:p>
    <w:p w14:paraId="180E3D33">
      <w:pPr>
        <w:pStyle w:val="34"/>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0" w:leftChars="0" w:firstLine="560" w:firstLineChars="200"/>
        <w:jc w:val="both"/>
        <w:rPr>
          <w:rFonts w:hint="eastAsia" w:ascii="仿宋" w:hAnsi="仿宋" w:eastAsia="仿宋" w:cs="仿宋"/>
          <w:b w:val="0"/>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其他：/</w:t>
      </w:r>
    </w:p>
    <w:p w14:paraId="230F08F1">
      <w:pPr>
        <w:pStyle w:val="34"/>
        <w:keepNext w:val="0"/>
        <w:keepLines w:val="0"/>
        <w:pageBreakBefore w:val="0"/>
        <w:widowControl/>
        <w:kinsoku/>
        <w:wordWrap/>
        <w:overflowPunct/>
        <w:topLinePunct w:val="0"/>
        <w:autoSpaceDE/>
        <w:autoSpaceDN/>
        <w:bidi w:val="0"/>
        <w:adjustRightInd/>
        <w:snapToGrid/>
        <w:spacing w:before="0" w:after="0" w:afterLines="0" w:line="360" w:lineRule="auto"/>
        <w:ind w:lef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注：符合《政府采购需求管理办法》（财库〔2021〕22 号第十一条）规定的采购项目，要研究采购过程和合同履行过程中可能存在的风险，提出有针对性的应当措施。</w:t>
      </w:r>
      <w:bookmarkStart w:id="16" w:name="br1_15"/>
      <w:bookmarkEnd w:id="16"/>
    </w:p>
    <w:p w14:paraId="3B0BCF21">
      <w:pPr>
        <w:rPr>
          <w:rFonts w:hint="default" w:ascii="仿宋" w:hAnsi="仿宋" w:eastAsia="仿宋" w:cs="仿宋"/>
          <w:color w:val="000000"/>
          <w:sz w:val="28"/>
          <w:szCs w:val="28"/>
          <w:highlight w:val="none"/>
          <w:lang w:val="en-US" w:eastAsia="zh-CN"/>
        </w:rPr>
      </w:pPr>
    </w:p>
    <w:sectPr>
      <w:pgSz w:w="11900" w:h="16820"/>
      <w:pgMar w:top="1417" w:right="1417" w:bottom="1417" w:left="1417" w:header="720" w:footer="720" w:gutter="0"/>
      <w:pgNumType w:fmt="decimal"/>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汉仪中宋简">
    <w:altName w:val="宋体"/>
    <w:panose1 w:val="02010600000101010101"/>
    <w:charset w:val="80"/>
    <w:family w:val="auto"/>
    <w:pitch w:val="default"/>
    <w:sig w:usb0="00000000" w:usb1="00000000" w:usb2="00000012" w:usb3="00000000" w:csb0="00020001"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汉仪小隶书简">
    <w:altName w:val="宋体"/>
    <w:panose1 w:val="02010600000101010101"/>
    <w:charset w:val="80"/>
    <w:family w:val="auto"/>
    <w:pitch w:val="default"/>
    <w:sig w:usb0="00000000" w:usb1="00000000" w:usb2="00000012" w:usb3="00000000" w:csb0="00020001" w:csb1="00000000"/>
  </w:font>
  <w:font w:name="汉仪劲楷简">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6006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7FC6">
    <w:pPr>
      <w:pStyle w:val="55"/>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339C1">
                          <w:pPr>
                            <w:pStyle w:val="5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3339C1">
                    <w:pPr>
                      <w:pStyle w:val="5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D8998"/>
    <w:multiLevelType w:val="singleLevel"/>
    <w:tmpl w:val="94DD8998"/>
    <w:lvl w:ilvl="0" w:tentative="0">
      <w:start w:val="1"/>
      <w:numFmt w:val="decimal"/>
      <w:suff w:val="nothing"/>
      <w:lvlText w:val="（%1）"/>
      <w:lvlJc w:val="left"/>
      <w:pPr>
        <w:ind w:left="0" w:firstLine="480"/>
      </w:pPr>
      <w:rPr>
        <w:rFonts w:hint="default"/>
      </w:rPr>
    </w:lvl>
  </w:abstractNum>
  <w:abstractNum w:abstractNumId="1">
    <w:nsid w:val="9506BB15"/>
    <w:multiLevelType w:val="singleLevel"/>
    <w:tmpl w:val="9506BB15"/>
    <w:lvl w:ilvl="0" w:tentative="0">
      <w:start w:val="1"/>
      <w:numFmt w:val="chineseCounting"/>
      <w:suff w:val="nothing"/>
      <w:lvlText w:val="（%1）"/>
      <w:lvlJc w:val="left"/>
      <w:pPr>
        <w:ind w:left="0" w:firstLine="480"/>
      </w:pPr>
      <w:rPr>
        <w:rFonts w:hint="eastAsia"/>
      </w:rPr>
    </w:lvl>
  </w:abstractNum>
  <w:abstractNum w:abstractNumId="2">
    <w:nsid w:val="9D36811A"/>
    <w:multiLevelType w:val="singleLevel"/>
    <w:tmpl w:val="9D36811A"/>
    <w:lvl w:ilvl="0" w:tentative="0">
      <w:start w:val="1"/>
      <w:numFmt w:val="decimal"/>
      <w:suff w:val="nothing"/>
      <w:lvlText w:val="（%1）"/>
      <w:lvlJc w:val="left"/>
      <w:pPr>
        <w:ind w:left="0" w:firstLine="480"/>
      </w:pPr>
      <w:rPr>
        <w:rFonts w:hint="default"/>
      </w:rPr>
    </w:lvl>
  </w:abstractNum>
  <w:abstractNum w:abstractNumId="3">
    <w:nsid w:val="A192B93D"/>
    <w:multiLevelType w:val="singleLevel"/>
    <w:tmpl w:val="A192B93D"/>
    <w:lvl w:ilvl="0" w:tentative="0">
      <w:start w:val="1"/>
      <w:numFmt w:val="chineseCounting"/>
      <w:suff w:val="nothing"/>
      <w:lvlText w:val="%1、"/>
      <w:lvlJc w:val="left"/>
      <w:pPr>
        <w:ind w:left="0" w:firstLine="0"/>
      </w:pPr>
      <w:rPr>
        <w:rFonts w:hint="eastAsia"/>
      </w:rPr>
    </w:lvl>
  </w:abstractNum>
  <w:abstractNum w:abstractNumId="4">
    <w:nsid w:val="A55575F4"/>
    <w:multiLevelType w:val="multilevel"/>
    <w:tmpl w:val="A55575F4"/>
    <w:lvl w:ilvl="0" w:tentative="0">
      <w:start w:val="1"/>
      <w:numFmt w:val="decimal"/>
      <w:pStyle w:val="20"/>
      <w:lvlText w:val="%1."/>
      <w:lvlJc w:val="left"/>
      <w:pPr>
        <w:ind w:left="425" w:hanging="425"/>
      </w:pPr>
    </w:lvl>
    <w:lvl w:ilvl="1" w:tentative="0">
      <w:start w:val="1"/>
      <w:numFmt w:val="decimal"/>
      <w:pStyle w:val="14"/>
      <w:lvlText w:val="%1.%2."/>
      <w:lvlJc w:val="left"/>
      <w:pPr>
        <w:ind w:left="567" w:hanging="567"/>
      </w:pPr>
    </w:lvl>
    <w:lvl w:ilvl="2" w:tentative="0">
      <w:start w:val="1"/>
      <w:numFmt w:val="decimal"/>
      <w:pStyle w:val="36"/>
      <w:lvlText w:val="%1.%2.%3."/>
      <w:lvlJc w:val="left"/>
      <w:pPr>
        <w:ind w:left="709" w:hanging="709"/>
      </w:pPr>
    </w:lvl>
    <w:lvl w:ilvl="3" w:tentative="0">
      <w:start w:val="1"/>
      <w:numFmt w:val="decimal"/>
      <w:pStyle w:val="47"/>
      <w:lvlText w:val="%1.%2.%3.%4."/>
      <w:lvlJc w:val="left"/>
      <w:pPr>
        <w:ind w:left="851" w:hanging="851"/>
      </w:pPr>
    </w:lvl>
    <w:lvl w:ilvl="4" w:tentative="0">
      <w:start w:val="1"/>
      <w:numFmt w:val="decimal"/>
      <w:pStyle w:val="65"/>
      <w:lvlText w:val="%1.%2.%3.%4.%5."/>
      <w:lvlJc w:val="left"/>
      <w:pPr>
        <w:ind w:left="2552" w:hanging="992"/>
      </w:pPr>
      <w:rPr>
        <w:color w:val="auto"/>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B2A926D1"/>
    <w:multiLevelType w:val="singleLevel"/>
    <w:tmpl w:val="B2A926D1"/>
    <w:lvl w:ilvl="0" w:tentative="0">
      <w:start w:val="1"/>
      <w:numFmt w:val="bullet"/>
      <w:pStyle w:val="40"/>
      <w:lvlText w:val=""/>
      <w:lvlJc w:val="left"/>
      <w:pPr>
        <w:tabs>
          <w:tab w:val="left" w:pos="839"/>
        </w:tabs>
        <w:ind w:left="839" w:hanging="419"/>
      </w:pPr>
      <w:rPr>
        <w:rFonts w:hint="default" w:ascii="Wingdings" w:hAnsi="Wingdings" w:cs="Wingdings"/>
      </w:rPr>
    </w:lvl>
  </w:abstractNum>
  <w:abstractNum w:abstractNumId="6">
    <w:nsid w:val="C58435B6"/>
    <w:multiLevelType w:val="singleLevel"/>
    <w:tmpl w:val="C58435B6"/>
    <w:lvl w:ilvl="0" w:tentative="0">
      <w:start w:val="1"/>
      <w:numFmt w:val="bullet"/>
      <w:pStyle w:val="24"/>
      <w:lvlText w:val=""/>
      <w:lvlJc w:val="left"/>
      <w:pPr>
        <w:ind w:left="420" w:firstLine="0"/>
      </w:pPr>
      <w:rPr>
        <w:rFonts w:hint="default" w:ascii="Wingdings" w:hAnsi="Wingdings"/>
      </w:rPr>
    </w:lvl>
  </w:abstractNum>
  <w:abstractNum w:abstractNumId="7">
    <w:nsid w:val="CCCF117B"/>
    <w:multiLevelType w:val="singleLevel"/>
    <w:tmpl w:val="CCCF117B"/>
    <w:lvl w:ilvl="0" w:tentative="0">
      <w:start w:val="1"/>
      <w:numFmt w:val="none"/>
      <w:pStyle w:val="176"/>
      <w:suff w:val="space"/>
      <w:lvlText w:val="%1"/>
      <w:lvlJc w:val="left"/>
      <w:pPr>
        <w:ind w:left="0" w:firstLine="480"/>
      </w:pPr>
      <w:rPr>
        <w:rFonts w:hint="eastAsia"/>
      </w:rPr>
    </w:lvl>
  </w:abstractNum>
  <w:abstractNum w:abstractNumId="8">
    <w:nsid w:val="E482BA5D"/>
    <w:multiLevelType w:val="singleLevel"/>
    <w:tmpl w:val="E482BA5D"/>
    <w:lvl w:ilvl="0" w:tentative="0">
      <w:start w:val="1"/>
      <w:numFmt w:val="bullet"/>
      <w:pStyle w:val="46"/>
      <w:lvlText w:val=""/>
      <w:lvlJc w:val="left"/>
      <w:pPr>
        <w:tabs>
          <w:tab w:val="left" w:pos="2098"/>
        </w:tabs>
        <w:ind w:left="2098" w:hanging="1678"/>
      </w:pPr>
      <w:rPr>
        <w:rFonts w:hint="default" w:ascii="Wingdings" w:hAnsi="Wingdings"/>
      </w:rPr>
    </w:lvl>
  </w:abstractNum>
  <w:abstractNum w:abstractNumId="9">
    <w:nsid w:val="F6EF08C0"/>
    <w:multiLevelType w:val="multilevel"/>
    <w:tmpl w:val="F6EF08C0"/>
    <w:lvl w:ilvl="0" w:tentative="0">
      <w:start w:val="1"/>
      <w:numFmt w:val="chineseCounting"/>
      <w:suff w:val="nothing"/>
      <w:lvlText w:val="%1、"/>
      <w:lvlJc w:val="left"/>
      <w:pPr>
        <w:ind w:left="25"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180"/>
      <w:suff w:val="nothing"/>
      <w:lvlText w:val="%3）"/>
      <w:lvlJc w:val="left"/>
      <w:pPr>
        <w:ind w:left="-26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FEEA93E5"/>
    <w:multiLevelType w:val="singleLevel"/>
    <w:tmpl w:val="FEEA93E5"/>
    <w:lvl w:ilvl="0" w:tentative="0">
      <w:start w:val="1"/>
      <w:numFmt w:val="bullet"/>
      <w:pStyle w:val="17"/>
      <w:lvlText w:val=""/>
      <w:lvlJc w:val="left"/>
      <w:pPr>
        <w:tabs>
          <w:tab w:val="left" w:pos="1678"/>
        </w:tabs>
        <w:ind w:left="1678" w:hanging="1258"/>
      </w:pPr>
      <w:rPr>
        <w:rFonts w:hint="default" w:ascii="Wingdings" w:hAnsi="Wingdings"/>
      </w:rPr>
    </w:lvl>
  </w:abstractNum>
  <w:abstractNum w:abstractNumId="1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2">
    <w:nsid w:val="16887356"/>
    <w:multiLevelType w:val="singleLevel"/>
    <w:tmpl w:val="16887356"/>
    <w:lvl w:ilvl="0" w:tentative="0">
      <w:start w:val="1"/>
      <w:numFmt w:val="decimal"/>
      <w:suff w:val="nothing"/>
      <w:lvlText w:val="（%1）"/>
      <w:lvlJc w:val="left"/>
    </w:lvl>
  </w:abstractNum>
  <w:abstractNum w:abstractNumId="13">
    <w:nsid w:val="20FF7BB2"/>
    <w:multiLevelType w:val="singleLevel"/>
    <w:tmpl w:val="20FF7BB2"/>
    <w:lvl w:ilvl="0" w:tentative="0">
      <w:start w:val="1"/>
      <w:numFmt w:val="decimal"/>
      <w:suff w:val="nothing"/>
      <w:lvlText w:val="（%1）"/>
      <w:lvlJc w:val="left"/>
      <w:pPr>
        <w:ind w:left="0" w:firstLine="480"/>
      </w:pPr>
      <w:rPr>
        <w:rFonts w:hint="default"/>
      </w:rPr>
    </w:lvl>
  </w:abstractNum>
  <w:abstractNum w:abstractNumId="14">
    <w:nsid w:val="261A58FB"/>
    <w:multiLevelType w:val="multilevel"/>
    <w:tmpl w:val="261A58FB"/>
    <w:lvl w:ilvl="0" w:tentative="0">
      <w:start w:val="1"/>
      <w:numFmt w:val="chineseCounting"/>
      <w:pStyle w:val="3"/>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non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5">
    <w:nsid w:val="2798DA3C"/>
    <w:multiLevelType w:val="multilevel"/>
    <w:tmpl w:val="2798DA3C"/>
    <w:lvl w:ilvl="0" w:tentative="0">
      <w:start w:val="1"/>
      <w:numFmt w:val="chineseCounting"/>
      <w:suff w:val="nothing"/>
      <w:lvlText w:val="%1、"/>
      <w:lvlJc w:val="left"/>
      <w:pPr>
        <w:ind w:left="0" w:firstLine="400"/>
      </w:pPr>
      <w:rPr>
        <w:rFonts w:hint="eastAsia"/>
      </w:rPr>
    </w:lvl>
    <w:lvl w:ilvl="1" w:tentative="0">
      <w:start w:val="1"/>
      <w:numFmt w:val="decimal"/>
      <w:pStyle w:val="181"/>
      <w:suff w:val="nothing"/>
      <w:lvlText w:val="%2．"/>
      <w:lvlJc w:val="left"/>
      <w:pPr>
        <w:ind w:left="-40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28D3E4A0"/>
    <w:multiLevelType w:val="singleLevel"/>
    <w:tmpl w:val="28D3E4A0"/>
    <w:lvl w:ilvl="0" w:tentative="0">
      <w:start w:val="1"/>
      <w:numFmt w:val="bullet"/>
      <w:pStyle w:val="33"/>
      <w:lvlText w:val=""/>
      <w:lvlJc w:val="left"/>
      <w:pPr>
        <w:tabs>
          <w:tab w:val="left" w:pos="1259"/>
        </w:tabs>
        <w:ind w:left="1259" w:hanging="839"/>
      </w:pPr>
      <w:rPr>
        <w:rFonts w:hint="default" w:ascii="Wingdings" w:hAnsi="Wingdings"/>
      </w:rPr>
    </w:lvl>
  </w:abstractNum>
  <w:abstractNum w:abstractNumId="17">
    <w:nsid w:val="430E6D13"/>
    <w:multiLevelType w:val="singleLevel"/>
    <w:tmpl w:val="430E6D13"/>
    <w:lvl w:ilvl="0" w:tentative="0">
      <w:start w:val="1"/>
      <w:numFmt w:val="decimal"/>
      <w:suff w:val="space"/>
      <w:lvlText w:val="%1."/>
      <w:lvlJc w:val="left"/>
      <w:pPr>
        <w:ind w:left="0" w:firstLine="480"/>
      </w:pPr>
      <w:rPr>
        <w:rFonts w:hint="default"/>
      </w:rPr>
    </w:lvl>
  </w:abstractNum>
  <w:abstractNum w:abstractNumId="18">
    <w:nsid w:val="48A5B6CF"/>
    <w:multiLevelType w:val="singleLevel"/>
    <w:tmpl w:val="48A5B6CF"/>
    <w:lvl w:ilvl="0" w:tentative="0">
      <w:start w:val="1"/>
      <w:numFmt w:val="chineseCounting"/>
      <w:suff w:val="nothing"/>
      <w:lvlText w:val="（%1）"/>
      <w:lvlJc w:val="left"/>
      <w:pPr>
        <w:ind w:left="0" w:firstLine="0"/>
      </w:pPr>
      <w:rPr>
        <w:rFonts w:hint="eastAsia"/>
      </w:rPr>
    </w:lvl>
  </w:abstractNum>
  <w:abstractNum w:abstractNumId="19">
    <w:nsid w:val="4C9D6700"/>
    <w:multiLevelType w:val="singleLevel"/>
    <w:tmpl w:val="4C9D6700"/>
    <w:lvl w:ilvl="0" w:tentative="0">
      <w:start w:val="1"/>
      <w:numFmt w:val="chineseCounting"/>
      <w:suff w:val="nothing"/>
      <w:lvlText w:val="%1、"/>
      <w:lvlJc w:val="left"/>
      <w:pPr>
        <w:ind w:left="0" w:firstLine="480"/>
      </w:pPr>
      <w:rPr>
        <w:rFonts w:hint="eastAsia"/>
      </w:rPr>
    </w:lvl>
  </w:abstractNum>
  <w:abstractNum w:abstractNumId="20">
    <w:nsid w:val="5915D590"/>
    <w:multiLevelType w:val="singleLevel"/>
    <w:tmpl w:val="5915D590"/>
    <w:lvl w:ilvl="0" w:tentative="0">
      <w:start w:val="1"/>
      <w:numFmt w:val="decimal"/>
      <w:suff w:val="nothing"/>
      <w:lvlText w:val="%1、"/>
      <w:lvlJc w:val="left"/>
      <w:pPr>
        <w:ind w:left="0" w:firstLine="480"/>
      </w:pPr>
      <w:rPr>
        <w:rFonts w:hint="default"/>
      </w:rPr>
    </w:lvl>
  </w:abstractNum>
  <w:abstractNum w:abstractNumId="21">
    <w:nsid w:val="7B7C1F9B"/>
    <w:multiLevelType w:val="multilevel"/>
    <w:tmpl w:val="7B7C1F9B"/>
    <w:lvl w:ilvl="0" w:tentative="0">
      <w:start w:val="1"/>
      <w:numFmt w:val="chineseCounting"/>
      <w:pStyle w:val="182"/>
      <w:suff w:val="nothing"/>
      <w:lvlText w:val="%1、"/>
      <w:lvlJc w:val="left"/>
      <w:pPr>
        <w:tabs>
          <w:tab w:val="left" w:pos="-400"/>
        </w:tabs>
        <w:ind w:left="-400" w:firstLine="400"/>
      </w:pPr>
      <w:rPr>
        <w:rFonts w:hint="eastAsia" w:ascii="宋体" w:hAnsi="宋体" w:eastAsia="宋体" w:cs="宋体"/>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4"/>
  </w:num>
  <w:num w:numId="2">
    <w:abstractNumId w:val="4"/>
  </w:num>
  <w:num w:numId="3">
    <w:abstractNumId w:val="10"/>
  </w:num>
  <w:num w:numId="4">
    <w:abstractNumId w:val="6"/>
  </w:num>
  <w:num w:numId="5">
    <w:abstractNumId w:val="16"/>
  </w:num>
  <w:num w:numId="6">
    <w:abstractNumId w:val="5"/>
  </w:num>
  <w:num w:numId="7">
    <w:abstractNumId w:val="8"/>
  </w:num>
  <w:num w:numId="8">
    <w:abstractNumId w:val="7"/>
  </w:num>
  <w:num w:numId="9">
    <w:abstractNumId w:val="9"/>
  </w:num>
  <w:num w:numId="10">
    <w:abstractNumId w:val="15"/>
  </w:num>
  <w:num w:numId="11">
    <w:abstractNumId w:val="21"/>
  </w:num>
  <w:num w:numId="12">
    <w:abstractNumId w:val="11"/>
  </w:num>
  <w:num w:numId="13">
    <w:abstractNumId w:val="3"/>
  </w:num>
  <w:num w:numId="14">
    <w:abstractNumId w:val="1"/>
  </w:num>
  <w:num w:numId="15">
    <w:abstractNumId w:val="17"/>
  </w:num>
  <w:num w:numId="16">
    <w:abstractNumId w:val="19"/>
  </w:num>
  <w:num w:numId="17">
    <w:abstractNumId w:val="20"/>
  </w:num>
  <w:num w:numId="18">
    <w:abstractNumId w:val="12"/>
  </w:num>
  <w:num w:numId="19">
    <w:abstractNumId w:val="18"/>
  </w:num>
  <w:num w:numId="20">
    <w:abstractNumId w:val="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292BAB"/>
    <w:rsid w:val="005539A0"/>
    <w:rsid w:val="006B31C3"/>
    <w:rsid w:val="00A77B3E"/>
    <w:rsid w:val="00CA2A55"/>
    <w:rsid w:val="01171569"/>
    <w:rsid w:val="01277E1F"/>
    <w:rsid w:val="01541EA9"/>
    <w:rsid w:val="01576085"/>
    <w:rsid w:val="016025FC"/>
    <w:rsid w:val="019422A6"/>
    <w:rsid w:val="01B75D7B"/>
    <w:rsid w:val="01E21263"/>
    <w:rsid w:val="02391B74"/>
    <w:rsid w:val="02555ED9"/>
    <w:rsid w:val="02D235D2"/>
    <w:rsid w:val="02D3777C"/>
    <w:rsid w:val="02E64D83"/>
    <w:rsid w:val="032C3E56"/>
    <w:rsid w:val="034026E5"/>
    <w:rsid w:val="034D4E02"/>
    <w:rsid w:val="036D1000"/>
    <w:rsid w:val="03EA08A3"/>
    <w:rsid w:val="043A7135"/>
    <w:rsid w:val="04620439"/>
    <w:rsid w:val="049368E6"/>
    <w:rsid w:val="049727D9"/>
    <w:rsid w:val="049A4077"/>
    <w:rsid w:val="04A722F0"/>
    <w:rsid w:val="04AB6C86"/>
    <w:rsid w:val="04D31337"/>
    <w:rsid w:val="04DF5F2E"/>
    <w:rsid w:val="04ED58E7"/>
    <w:rsid w:val="05111DBD"/>
    <w:rsid w:val="05232F96"/>
    <w:rsid w:val="05AA02EA"/>
    <w:rsid w:val="05C55124"/>
    <w:rsid w:val="05C75DD5"/>
    <w:rsid w:val="05F41565"/>
    <w:rsid w:val="06020126"/>
    <w:rsid w:val="06222576"/>
    <w:rsid w:val="0624009C"/>
    <w:rsid w:val="062B665E"/>
    <w:rsid w:val="063522A9"/>
    <w:rsid w:val="065F7326"/>
    <w:rsid w:val="068729DD"/>
    <w:rsid w:val="06BB2083"/>
    <w:rsid w:val="072D01E6"/>
    <w:rsid w:val="0737795B"/>
    <w:rsid w:val="075524D7"/>
    <w:rsid w:val="078008B7"/>
    <w:rsid w:val="078D1C71"/>
    <w:rsid w:val="07DB29DD"/>
    <w:rsid w:val="083B16CD"/>
    <w:rsid w:val="08493DEA"/>
    <w:rsid w:val="086E55FF"/>
    <w:rsid w:val="08872B64"/>
    <w:rsid w:val="08BA4CE8"/>
    <w:rsid w:val="093A57C8"/>
    <w:rsid w:val="09727371"/>
    <w:rsid w:val="09750C0F"/>
    <w:rsid w:val="0A35500F"/>
    <w:rsid w:val="0A36214C"/>
    <w:rsid w:val="0A8C4462"/>
    <w:rsid w:val="0AD23ADB"/>
    <w:rsid w:val="0AD32091"/>
    <w:rsid w:val="0B1C3A38"/>
    <w:rsid w:val="0B60267A"/>
    <w:rsid w:val="0BF71B44"/>
    <w:rsid w:val="0C004FC6"/>
    <w:rsid w:val="0C2801BA"/>
    <w:rsid w:val="0C8A49D1"/>
    <w:rsid w:val="0C985340"/>
    <w:rsid w:val="0CAD3C4F"/>
    <w:rsid w:val="0D5F135A"/>
    <w:rsid w:val="0D8D4779"/>
    <w:rsid w:val="0DB53CD0"/>
    <w:rsid w:val="0DBC581D"/>
    <w:rsid w:val="0E0461A7"/>
    <w:rsid w:val="0E080F6B"/>
    <w:rsid w:val="0E4532A6"/>
    <w:rsid w:val="0ECC12D1"/>
    <w:rsid w:val="0EDB4FDA"/>
    <w:rsid w:val="0F0B307F"/>
    <w:rsid w:val="0F823517"/>
    <w:rsid w:val="0FD94894"/>
    <w:rsid w:val="0FF00FEF"/>
    <w:rsid w:val="0FFD54BA"/>
    <w:rsid w:val="101D0B28"/>
    <w:rsid w:val="10232E79"/>
    <w:rsid w:val="10392996"/>
    <w:rsid w:val="103F2B9A"/>
    <w:rsid w:val="10F863AD"/>
    <w:rsid w:val="111331E7"/>
    <w:rsid w:val="1191672F"/>
    <w:rsid w:val="11AE2F10"/>
    <w:rsid w:val="11FA7F03"/>
    <w:rsid w:val="125C2EC6"/>
    <w:rsid w:val="12902616"/>
    <w:rsid w:val="12B02CB8"/>
    <w:rsid w:val="12F708E7"/>
    <w:rsid w:val="133438E9"/>
    <w:rsid w:val="13712447"/>
    <w:rsid w:val="137353F6"/>
    <w:rsid w:val="13857CA0"/>
    <w:rsid w:val="13B14F39"/>
    <w:rsid w:val="13CC516D"/>
    <w:rsid w:val="13D529D6"/>
    <w:rsid w:val="142C305C"/>
    <w:rsid w:val="14733F9D"/>
    <w:rsid w:val="14E31122"/>
    <w:rsid w:val="14F21366"/>
    <w:rsid w:val="15171E3E"/>
    <w:rsid w:val="153854D5"/>
    <w:rsid w:val="156404B5"/>
    <w:rsid w:val="159529BE"/>
    <w:rsid w:val="159D39C7"/>
    <w:rsid w:val="16077093"/>
    <w:rsid w:val="160D7C8F"/>
    <w:rsid w:val="162E5E8B"/>
    <w:rsid w:val="164976AB"/>
    <w:rsid w:val="16573B76"/>
    <w:rsid w:val="166A7E9F"/>
    <w:rsid w:val="168E50BE"/>
    <w:rsid w:val="16D50F3F"/>
    <w:rsid w:val="1701104A"/>
    <w:rsid w:val="172123D6"/>
    <w:rsid w:val="172872C1"/>
    <w:rsid w:val="1759391E"/>
    <w:rsid w:val="17A15A10"/>
    <w:rsid w:val="17A74689"/>
    <w:rsid w:val="17B67D6F"/>
    <w:rsid w:val="17BA1D60"/>
    <w:rsid w:val="17C27715"/>
    <w:rsid w:val="17CC40F0"/>
    <w:rsid w:val="17D15BAA"/>
    <w:rsid w:val="17E51656"/>
    <w:rsid w:val="17F202A5"/>
    <w:rsid w:val="18095344"/>
    <w:rsid w:val="180C5045"/>
    <w:rsid w:val="18185587"/>
    <w:rsid w:val="181B6E25"/>
    <w:rsid w:val="18231C60"/>
    <w:rsid w:val="18694035"/>
    <w:rsid w:val="18893D8F"/>
    <w:rsid w:val="18C1177B"/>
    <w:rsid w:val="18C354F3"/>
    <w:rsid w:val="18F7519C"/>
    <w:rsid w:val="19033B41"/>
    <w:rsid w:val="190653E0"/>
    <w:rsid w:val="190770D8"/>
    <w:rsid w:val="1916421D"/>
    <w:rsid w:val="19704F4F"/>
    <w:rsid w:val="197131A1"/>
    <w:rsid w:val="198F37EF"/>
    <w:rsid w:val="19CF6119"/>
    <w:rsid w:val="19F0252A"/>
    <w:rsid w:val="19F85670"/>
    <w:rsid w:val="1A0A648E"/>
    <w:rsid w:val="1A3D12D5"/>
    <w:rsid w:val="1A4268EB"/>
    <w:rsid w:val="1AE71D25"/>
    <w:rsid w:val="1B010554"/>
    <w:rsid w:val="1B0911B7"/>
    <w:rsid w:val="1B6D7998"/>
    <w:rsid w:val="1B970EB9"/>
    <w:rsid w:val="1BF72877"/>
    <w:rsid w:val="1BFB1448"/>
    <w:rsid w:val="1C1C324D"/>
    <w:rsid w:val="1C526F32"/>
    <w:rsid w:val="1C730FDE"/>
    <w:rsid w:val="1C8E406A"/>
    <w:rsid w:val="1C906195"/>
    <w:rsid w:val="1CEE12C8"/>
    <w:rsid w:val="1CF06AD2"/>
    <w:rsid w:val="1CF071AE"/>
    <w:rsid w:val="1D28001A"/>
    <w:rsid w:val="1D3548A1"/>
    <w:rsid w:val="1D7768AC"/>
    <w:rsid w:val="1DB418AE"/>
    <w:rsid w:val="1DC37D43"/>
    <w:rsid w:val="1E200CF1"/>
    <w:rsid w:val="1E3649B9"/>
    <w:rsid w:val="1E3B5B2B"/>
    <w:rsid w:val="1EA710D5"/>
    <w:rsid w:val="1EB6298A"/>
    <w:rsid w:val="1ED55F80"/>
    <w:rsid w:val="1F3E29A4"/>
    <w:rsid w:val="1F4C5F8F"/>
    <w:rsid w:val="1F4E188E"/>
    <w:rsid w:val="1F685E39"/>
    <w:rsid w:val="1FB262C1"/>
    <w:rsid w:val="1FC558C7"/>
    <w:rsid w:val="1FC95880"/>
    <w:rsid w:val="1FCA1356"/>
    <w:rsid w:val="20477EAA"/>
    <w:rsid w:val="204F3B10"/>
    <w:rsid w:val="206931DD"/>
    <w:rsid w:val="207042CE"/>
    <w:rsid w:val="20AC4ABE"/>
    <w:rsid w:val="20CE712B"/>
    <w:rsid w:val="20F84069"/>
    <w:rsid w:val="21355A9A"/>
    <w:rsid w:val="216B5E82"/>
    <w:rsid w:val="219972BD"/>
    <w:rsid w:val="21A63C04"/>
    <w:rsid w:val="21ED1832"/>
    <w:rsid w:val="222A213F"/>
    <w:rsid w:val="2241392C"/>
    <w:rsid w:val="2246415A"/>
    <w:rsid w:val="22F14051"/>
    <w:rsid w:val="22F34C27"/>
    <w:rsid w:val="230010F2"/>
    <w:rsid w:val="23EA427B"/>
    <w:rsid w:val="23EE7AB9"/>
    <w:rsid w:val="24311EAA"/>
    <w:rsid w:val="24431BDE"/>
    <w:rsid w:val="24482D50"/>
    <w:rsid w:val="24CD14A7"/>
    <w:rsid w:val="24E23376"/>
    <w:rsid w:val="24EB776D"/>
    <w:rsid w:val="25065CBA"/>
    <w:rsid w:val="25097681"/>
    <w:rsid w:val="251C689D"/>
    <w:rsid w:val="252F3F10"/>
    <w:rsid w:val="25C26B32"/>
    <w:rsid w:val="25F211C5"/>
    <w:rsid w:val="25FB6390"/>
    <w:rsid w:val="2642685A"/>
    <w:rsid w:val="264F486A"/>
    <w:rsid w:val="26555BF8"/>
    <w:rsid w:val="265E4DA8"/>
    <w:rsid w:val="2677791D"/>
    <w:rsid w:val="26895342"/>
    <w:rsid w:val="26955FF5"/>
    <w:rsid w:val="26A36964"/>
    <w:rsid w:val="275D6B12"/>
    <w:rsid w:val="27826579"/>
    <w:rsid w:val="27B150B0"/>
    <w:rsid w:val="27F154AD"/>
    <w:rsid w:val="27F37477"/>
    <w:rsid w:val="28013942"/>
    <w:rsid w:val="28302A61"/>
    <w:rsid w:val="286E4D4F"/>
    <w:rsid w:val="28A30E9D"/>
    <w:rsid w:val="28CE23F4"/>
    <w:rsid w:val="28E079FB"/>
    <w:rsid w:val="28F039B6"/>
    <w:rsid w:val="28FC0699"/>
    <w:rsid w:val="29253660"/>
    <w:rsid w:val="292C2C40"/>
    <w:rsid w:val="29361D11"/>
    <w:rsid w:val="294855A0"/>
    <w:rsid w:val="295020B2"/>
    <w:rsid w:val="2986450B"/>
    <w:rsid w:val="29AE7AF9"/>
    <w:rsid w:val="29E96D83"/>
    <w:rsid w:val="29F3375E"/>
    <w:rsid w:val="2A2B2EF8"/>
    <w:rsid w:val="2A63541A"/>
    <w:rsid w:val="2AA9206F"/>
    <w:rsid w:val="2AB63109"/>
    <w:rsid w:val="2AD25A69"/>
    <w:rsid w:val="2B95589B"/>
    <w:rsid w:val="2BB275D3"/>
    <w:rsid w:val="2BD575BF"/>
    <w:rsid w:val="2BD9309E"/>
    <w:rsid w:val="2BE026B7"/>
    <w:rsid w:val="2C114AF5"/>
    <w:rsid w:val="2C1D4AC2"/>
    <w:rsid w:val="2C4047C0"/>
    <w:rsid w:val="2C477B5E"/>
    <w:rsid w:val="2C646B95"/>
    <w:rsid w:val="2C6D5A4A"/>
    <w:rsid w:val="2C7D1A05"/>
    <w:rsid w:val="2D22764F"/>
    <w:rsid w:val="2D2B320F"/>
    <w:rsid w:val="2D7078B1"/>
    <w:rsid w:val="2D9B0395"/>
    <w:rsid w:val="2DA21F75"/>
    <w:rsid w:val="2DE77874"/>
    <w:rsid w:val="2E05463D"/>
    <w:rsid w:val="2E166E98"/>
    <w:rsid w:val="2E516CA5"/>
    <w:rsid w:val="2E8D5429"/>
    <w:rsid w:val="2EBF4557"/>
    <w:rsid w:val="2F0B154A"/>
    <w:rsid w:val="2F252CC5"/>
    <w:rsid w:val="2F662C24"/>
    <w:rsid w:val="2F7964B4"/>
    <w:rsid w:val="2F7E728D"/>
    <w:rsid w:val="2FC050DF"/>
    <w:rsid w:val="30393E95"/>
    <w:rsid w:val="3057510F"/>
    <w:rsid w:val="308275EA"/>
    <w:rsid w:val="30C45E54"/>
    <w:rsid w:val="30CB2D3F"/>
    <w:rsid w:val="30D35C55"/>
    <w:rsid w:val="30DC4F4C"/>
    <w:rsid w:val="30DF4A3C"/>
    <w:rsid w:val="312608BD"/>
    <w:rsid w:val="312D57A8"/>
    <w:rsid w:val="31603DCF"/>
    <w:rsid w:val="31684619"/>
    <w:rsid w:val="317E0102"/>
    <w:rsid w:val="31921AAF"/>
    <w:rsid w:val="31950538"/>
    <w:rsid w:val="319C0A8B"/>
    <w:rsid w:val="31A16195"/>
    <w:rsid w:val="31A737AC"/>
    <w:rsid w:val="32035D35"/>
    <w:rsid w:val="32056724"/>
    <w:rsid w:val="32592E7B"/>
    <w:rsid w:val="32C71C2C"/>
    <w:rsid w:val="32C75788"/>
    <w:rsid w:val="32DD62DE"/>
    <w:rsid w:val="32DF2AD1"/>
    <w:rsid w:val="32E12CEE"/>
    <w:rsid w:val="32FC436F"/>
    <w:rsid w:val="336E20A7"/>
    <w:rsid w:val="33896EE1"/>
    <w:rsid w:val="33A51F6D"/>
    <w:rsid w:val="33CA3782"/>
    <w:rsid w:val="33EE30FE"/>
    <w:rsid w:val="34880F47"/>
    <w:rsid w:val="34A915E9"/>
    <w:rsid w:val="34C13550"/>
    <w:rsid w:val="34C3079A"/>
    <w:rsid w:val="34C46423"/>
    <w:rsid w:val="35603B03"/>
    <w:rsid w:val="35725E7F"/>
    <w:rsid w:val="35947100"/>
    <w:rsid w:val="35957DBF"/>
    <w:rsid w:val="3598340C"/>
    <w:rsid w:val="35A05470"/>
    <w:rsid w:val="35B458C5"/>
    <w:rsid w:val="35EB5C31"/>
    <w:rsid w:val="361138EA"/>
    <w:rsid w:val="364E1819"/>
    <w:rsid w:val="3676374D"/>
    <w:rsid w:val="36882C9B"/>
    <w:rsid w:val="36962041"/>
    <w:rsid w:val="36C22E36"/>
    <w:rsid w:val="36F75340"/>
    <w:rsid w:val="37144D14"/>
    <w:rsid w:val="371C6D23"/>
    <w:rsid w:val="371F3DE4"/>
    <w:rsid w:val="373A0C1E"/>
    <w:rsid w:val="375515B4"/>
    <w:rsid w:val="37E1109A"/>
    <w:rsid w:val="38084878"/>
    <w:rsid w:val="38456DB6"/>
    <w:rsid w:val="38485046"/>
    <w:rsid w:val="385E6B8E"/>
    <w:rsid w:val="38717936"/>
    <w:rsid w:val="38B8629F"/>
    <w:rsid w:val="38CD06CF"/>
    <w:rsid w:val="3911589E"/>
    <w:rsid w:val="392C4597"/>
    <w:rsid w:val="39697599"/>
    <w:rsid w:val="39950402"/>
    <w:rsid w:val="39F257E0"/>
    <w:rsid w:val="3A95700F"/>
    <w:rsid w:val="3ABB3E24"/>
    <w:rsid w:val="3AD604B2"/>
    <w:rsid w:val="3ADD023E"/>
    <w:rsid w:val="3AFA0DF0"/>
    <w:rsid w:val="3AFD443D"/>
    <w:rsid w:val="3B33576B"/>
    <w:rsid w:val="3B58203B"/>
    <w:rsid w:val="3B5E6B54"/>
    <w:rsid w:val="3B5F00A2"/>
    <w:rsid w:val="3B673FAC"/>
    <w:rsid w:val="3BFF41E4"/>
    <w:rsid w:val="3C194FB1"/>
    <w:rsid w:val="3C276C1B"/>
    <w:rsid w:val="3C2B6D87"/>
    <w:rsid w:val="3C3025F0"/>
    <w:rsid w:val="3C4E2A76"/>
    <w:rsid w:val="3CA26B5E"/>
    <w:rsid w:val="3CB74ABF"/>
    <w:rsid w:val="3CD25455"/>
    <w:rsid w:val="3CD76B9B"/>
    <w:rsid w:val="3CF36139"/>
    <w:rsid w:val="3D9E12C7"/>
    <w:rsid w:val="3DD551FD"/>
    <w:rsid w:val="3DE74F30"/>
    <w:rsid w:val="3DF24001"/>
    <w:rsid w:val="3E00546D"/>
    <w:rsid w:val="3E530817"/>
    <w:rsid w:val="3E642A25"/>
    <w:rsid w:val="3E854E75"/>
    <w:rsid w:val="3EAA6689"/>
    <w:rsid w:val="3F002A57"/>
    <w:rsid w:val="3F087854"/>
    <w:rsid w:val="3F23643C"/>
    <w:rsid w:val="3F64438F"/>
    <w:rsid w:val="3F731171"/>
    <w:rsid w:val="3F8E1B07"/>
    <w:rsid w:val="3FD00372"/>
    <w:rsid w:val="3FF35E0E"/>
    <w:rsid w:val="3FF614D5"/>
    <w:rsid w:val="3FFA53EF"/>
    <w:rsid w:val="404B3E9C"/>
    <w:rsid w:val="40827192"/>
    <w:rsid w:val="40BB090A"/>
    <w:rsid w:val="40C31C84"/>
    <w:rsid w:val="40D914A8"/>
    <w:rsid w:val="40DF3C7C"/>
    <w:rsid w:val="413D4555"/>
    <w:rsid w:val="415626EE"/>
    <w:rsid w:val="41943621"/>
    <w:rsid w:val="41D57EC1"/>
    <w:rsid w:val="41F1637D"/>
    <w:rsid w:val="41FD3EB1"/>
    <w:rsid w:val="420E6883"/>
    <w:rsid w:val="42BE68C6"/>
    <w:rsid w:val="42C452A1"/>
    <w:rsid w:val="42E14110"/>
    <w:rsid w:val="42E36DA7"/>
    <w:rsid w:val="430F2F5F"/>
    <w:rsid w:val="432509D4"/>
    <w:rsid w:val="43397FDC"/>
    <w:rsid w:val="433C5D1E"/>
    <w:rsid w:val="434B435C"/>
    <w:rsid w:val="436A4639"/>
    <w:rsid w:val="438A6A89"/>
    <w:rsid w:val="43910F3B"/>
    <w:rsid w:val="439D6A3A"/>
    <w:rsid w:val="43FC06C2"/>
    <w:rsid w:val="448D2005"/>
    <w:rsid w:val="449F6565"/>
    <w:rsid w:val="44DC3DD3"/>
    <w:rsid w:val="44F52628"/>
    <w:rsid w:val="455410FD"/>
    <w:rsid w:val="4564715C"/>
    <w:rsid w:val="456524FC"/>
    <w:rsid w:val="456A6B72"/>
    <w:rsid w:val="457277D5"/>
    <w:rsid w:val="458539AC"/>
    <w:rsid w:val="458544A2"/>
    <w:rsid w:val="45941E41"/>
    <w:rsid w:val="45B0689F"/>
    <w:rsid w:val="45D5417A"/>
    <w:rsid w:val="45D93CF8"/>
    <w:rsid w:val="46396545"/>
    <w:rsid w:val="464A2500"/>
    <w:rsid w:val="466C2476"/>
    <w:rsid w:val="471054F8"/>
    <w:rsid w:val="47262F6D"/>
    <w:rsid w:val="474A1007"/>
    <w:rsid w:val="47841A42"/>
    <w:rsid w:val="478657BA"/>
    <w:rsid w:val="47E50732"/>
    <w:rsid w:val="47F46BC7"/>
    <w:rsid w:val="483460F4"/>
    <w:rsid w:val="483B0352"/>
    <w:rsid w:val="4893018E"/>
    <w:rsid w:val="48934F17"/>
    <w:rsid w:val="48AA54D8"/>
    <w:rsid w:val="48AF22C8"/>
    <w:rsid w:val="48F13107"/>
    <w:rsid w:val="48F36E7F"/>
    <w:rsid w:val="48FB5D0B"/>
    <w:rsid w:val="4948541D"/>
    <w:rsid w:val="49804BB7"/>
    <w:rsid w:val="49A14359"/>
    <w:rsid w:val="49CD76D0"/>
    <w:rsid w:val="49F17CAE"/>
    <w:rsid w:val="4A0F5F3A"/>
    <w:rsid w:val="4A342137"/>
    <w:rsid w:val="4A372D9B"/>
    <w:rsid w:val="4A590F64"/>
    <w:rsid w:val="4A7638C4"/>
    <w:rsid w:val="4AB12B4E"/>
    <w:rsid w:val="4ABA40F8"/>
    <w:rsid w:val="4AF22A01"/>
    <w:rsid w:val="4AFA2747"/>
    <w:rsid w:val="4B0215FB"/>
    <w:rsid w:val="4B0E73A1"/>
    <w:rsid w:val="4B29302C"/>
    <w:rsid w:val="4B593C7A"/>
    <w:rsid w:val="4B69167A"/>
    <w:rsid w:val="4B805FD2"/>
    <w:rsid w:val="4B9778A0"/>
    <w:rsid w:val="4BAB31CB"/>
    <w:rsid w:val="4BB548C0"/>
    <w:rsid w:val="4BC64A02"/>
    <w:rsid w:val="4C001FDF"/>
    <w:rsid w:val="4C025359"/>
    <w:rsid w:val="4C217E1A"/>
    <w:rsid w:val="4D0258E3"/>
    <w:rsid w:val="4D126E98"/>
    <w:rsid w:val="4D680870"/>
    <w:rsid w:val="4D924EB8"/>
    <w:rsid w:val="4DC25072"/>
    <w:rsid w:val="4DED6593"/>
    <w:rsid w:val="4E366AC3"/>
    <w:rsid w:val="4E3C4E24"/>
    <w:rsid w:val="4E9543C9"/>
    <w:rsid w:val="4E990153"/>
    <w:rsid w:val="4EAF3848"/>
    <w:rsid w:val="4ECC2FB2"/>
    <w:rsid w:val="4EDD03B5"/>
    <w:rsid w:val="4EFC2AB1"/>
    <w:rsid w:val="4F086BE6"/>
    <w:rsid w:val="4F11527D"/>
    <w:rsid w:val="4F1F277C"/>
    <w:rsid w:val="4F5D5052"/>
    <w:rsid w:val="4F747812"/>
    <w:rsid w:val="4FAB4475"/>
    <w:rsid w:val="4FD14573"/>
    <w:rsid w:val="4FD81D51"/>
    <w:rsid w:val="4FE34AB6"/>
    <w:rsid w:val="50131BB5"/>
    <w:rsid w:val="502D0EC8"/>
    <w:rsid w:val="50536D1D"/>
    <w:rsid w:val="50693470"/>
    <w:rsid w:val="50AA076B"/>
    <w:rsid w:val="50F11EF6"/>
    <w:rsid w:val="51071719"/>
    <w:rsid w:val="5125196C"/>
    <w:rsid w:val="513149E8"/>
    <w:rsid w:val="51355AE1"/>
    <w:rsid w:val="513D15DF"/>
    <w:rsid w:val="51505B7C"/>
    <w:rsid w:val="5164091A"/>
    <w:rsid w:val="516C5A20"/>
    <w:rsid w:val="519105C3"/>
    <w:rsid w:val="51A254E2"/>
    <w:rsid w:val="51AC406F"/>
    <w:rsid w:val="51C84229"/>
    <w:rsid w:val="51F577C4"/>
    <w:rsid w:val="52242AEA"/>
    <w:rsid w:val="52862B12"/>
    <w:rsid w:val="528B1ED6"/>
    <w:rsid w:val="529E7AEA"/>
    <w:rsid w:val="52AB2578"/>
    <w:rsid w:val="52AF3E17"/>
    <w:rsid w:val="52D10CEE"/>
    <w:rsid w:val="53086608"/>
    <w:rsid w:val="530F0D59"/>
    <w:rsid w:val="53281E1B"/>
    <w:rsid w:val="533662E6"/>
    <w:rsid w:val="535D1AC5"/>
    <w:rsid w:val="53713B43"/>
    <w:rsid w:val="53785BE3"/>
    <w:rsid w:val="53DA4EC3"/>
    <w:rsid w:val="545729B8"/>
    <w:rsid w:val="54AE00FE"/>
    <w:rsid w:val="54B8027F"/>
    <w:rsid w:val="54C31DFB"/>
    <w:rsid w:val="54EF43AE"/>
    <w:rsid w:val="550D3076"/>
    <w:rsid w:val="553C4FB1"/>
    <w:rsid w:val="554D1437"/>
    <w:rsid w:val="556E620B"/>
    <w:rsid w:val="557355CF"/>
    <w:rsid w:val="55A41C2D"/>
    <w:rsid w:val="55E262B1"/>
    <w:rsid w:val="55ED7B8B"/>
    <w:rsid w:val="55F81F79"/>
    <w:rsid w:val="561B18C0"/>
    <w:rsid w:val="5627460C"/>
    <w:rsid w:val="5669552A"/>
    <w:rsid w:val="56A812A9"/>
    <w:rsid w:val="56C836F9"/>
    <w:rsid w:val="573C5E95"/>
    <w:rsid w:val="5754393A"/>
    <w:rsid w:val="577508F8"/>
    <w:rsid w:val="57C57C38"/>
    <w:rsid w:val="57D305A7"/>
    <w:rsid w:val="57E04A72"/>
    <w:rsid w:val="57E93DE3"/>
    <w:rsid w:val="58160494"/>
    <w:rsid w:val="581D5CC6"/>
    <w:rsid w:val="589A1586"/>
    <w:rsid w:val="598F04FE"/>
    <w:rsid w:val="59923010"/>
    <w:rsid w:val="59A0095D"/>
    <w:rsid w:val="59C02DAD"/>
    <w:rsid w:val="59F1740B"/>
    <w:rsid w:val="5A3E3CD2"/>
    <w:rsid w:val="5A517EA9"/>
    <w:rsid w:val="5A6F0209"/>
    <w:rsid w:val="5AA71877"/>
    <w:rsid w:val="5AC71F19"/>
    <w:rsid w:val="5ADD56E5"/>
    <w:rsid w:val="5AE34FA5"/>
    <w:rsid w:val="5AEB20AC"/>
    <w:rsid w:val="5AFF7905"/>
    <w:rsid w:val="5B0F5D9A"/>
    <w:rsid w:val="5B101B12"/>
    <w:rsid w:val="5B404226"/>
    <w:rsid w:val="5B8C73EB"/>
    <w:rsid w:val="5B8F3CC5"/>
    <w:rsid w:val="5BA37811"/>
    <w:rsid w:val="5BB67F7F"/>
    <w:rsid w:val="5BCD7B48"/>
    <w:rsid w:val="5BEA4CF5"/>
    <w:rsid w:val="5C2C64D8"/>
    <w:rsid w:val="5C5E3B6B"/>
    <w:rsid w:val="5C726720"/>
    <w:rsid w:val="5C741C2D"/>
    <w:rsid w:val="5C98591B"/>
    <w:rsid w:val="5C9F314E"/>
    <w:rsid w:val="5CA04ABD"/>
    <w:rsid w:val="5CA92556"/>
    <w:rsid w:val="5D0E3E30"/>
    <w:rsid w:val="5D1256CE"/>
    <w:rsid w:val="5D202983"/>
    <w:rsid w:val="5D327B1E"/>
    <w:rsid w:val="5D5418FE"/>
    <w:rsid w:val="5D631CAC"/>
    <w:rsid w:val="5D9D62CB"/>
    <w:rsid w:val="5DD45079"/>
    <w:rsid w:val="5DF45030"/>
    <w:rsid w:val="5E127950"/>
    <w:rsid w:val="5E345B18"/>
    <w:rsid w:val="5E614A57"/>
    <w:rsid w:val="5E6A7047"/>
    <w:rsid w:val="5E766D43"/>
    <w:rsid w:val="5EAE1426"/>
    <w:rsid w:val="5ECC31C0"/>
    <w:rsid w:val="5ED27127"/>
    <w:rsid w:val="5ED6097D"/>
    <w:rsid w:val="5F0E6369"/>
    <w:rsid w:val="5F116624"/>
    <w:rsid w:val="5FB92779"/>
    <w:rsid w:val="5FC52ECB"/>
    <w:rsid w:val="5FCF5AF8"/>
    <w:rsid w:val="602E34A0"/>
    <w:rsid w:val="60591866"/>
    <w:rsid w:val="60795A64"/>
    <w:rsid w:val="608928A9"/>
    <w:rsid w:val="609A52FC"/>
    <w:rsid w:val="60B02A72"/>
    <w:rsid w:val="60E70C20"/>
    <w:rsid w:val="610700EE"/>
    <w:rsid w:val="613048BB"/>
    <w:rsid w:val="6131633F"/>
    <w:rsid w:val="617C580C"/>
    <w:rsid w:val="618E39E0"/>
    <w:rsid w:val="61A82AA5"/>
    <w:rsid w:val="61B76844"/>
    <w:rsid w:val="61C86CA3"/>
    <w:rsid w:val="61D4521B"/>
    <w:rsid w:val="621B2C36"/>
    <w:rsid w:val="6225719A"/>
    <w:rsid w:val="62257C51"/>
    <w:rsid w:val="6283706E"/>
    <w:rsid w:val="62930C6F"/>
    <w:rsid w:val="62A80882"/>
    <w:rsid w:val="62A96AD4"/>
    <w:rsid w:val="62B37921"/>
    <w:rsid w:val="62EE098B"/>
    <w:rsid w:val="63041BFB"/>
    <w:rsid w:val="632F468B"/>
    <w:rsid w:val="635602DE"/>
    <w:rsid w:val="63756216"/>
    <w:rsid w:val="639C2195"/>
    <w:rsid w:val="63C36AB1"/>
    <w:rsid w:val="63E53A59"/>
    <w:rsid w:val="63E678B4"/>
    <w:rsid w:val="63FC080B"/>
    <w:rsid w:val="6417673B"/>
    <w:rsid w:val="64852C29"/>
    <w:rsid w:val="648547C7"/>
    <w:rsid w:val="64ED07CF"/>
    <w:rsid w:val="654D7437"/>
    <w:rsid w:val="657C227E"/>
    <w:rsid w:val="65815AE7"/>
    <w:rsid w:val="658B79A7"/>
    <w:rsid w:val="659D3FA3"/>
    <w:rsid w:val="65D35C16"/>
    <w:rsid w:val="66246472"/>
    <w:rsid w:val="662E540B"/>
    <w:rsid w:val="6659436D"/>
    <w:rsid w:val="666D6FA8"/>
    <w:rsid w:val="669B2BD8"/>
    <w:rsid w:val="66A034EA"/>
    <w:rsid w:val="66FD6140"/>
    <w:rsid w:val="67130F7E"/>
    <w:rsid w:val="67183603"/>
    <w:rsid w:val="67332E10"/>
    <w:rsid w:val="674A6C7E"/>
    <w:rsid w:val="6764746E"/>
    <w:rsid w:val="67696832"/>
    <w:rsid w:val="676C1E7F"/>
    <w:rsid w:val="679118E5"/>
    <w:rsid w:val="679B2764"/>
    <w:rsid w:val="67AE2497"/>
    <w:rsid w:val="68141C78"/>
    <w:rsid w:val="683A01CF"/>
    <w:rsid w:val="68562C8F"/>
    <w:rsid w:val="688F22C8"/>
    <w:rsid w:val="68DA531D"/>
    <w:rsid w:val="69645A4D"/>
    <w:rsid w:val="697D0373"/>
    <w:rsid w:val="698E432E"/>
    <w:rsid w:val="6A3A0F1E"/>
    <w:rsid w:val="6A4A42EC"/>
    <w:rsid w:val="6A611A43"/>
    <w:rsid w:val="6A6E5F0E"/>
    <w:rsid w:val="6A8674D8"/>
    <w:rsid w:val="6A99742E"/>
    <w:rsid w:val="6AD06BC8"/>
    <w:rsid w:val="6AE12B83"/>
    <w:rsid w:val="6AF5484B"/>
    <w:rsid w:val="6B5E2426"/>
    <w:rsid w:val="6BC61258"/>
    <w:rsid w:val="6BCD1D98"/>
    <w:rsid w:val="6BF80185"/>
    <w:rsid w:val="6C0E24EB"/>
    <w:rsid w:val="6C376EFF"/>
    <w:rsid w:val="6C450EF0"/>
    <w:rsid w:val="6C7D4B2E"/>
    <w:rsid w:val="6CFE4FFD"/>
    <w:rsid w:val="6D347612"/>
    <w:rsid w:val="6D667370"/>
    <w:rsid w:val="6D73212A"/>
    <w:rsid w:val="6DAA1953"/>
    <w:rsid w:val="6DCF3167"/>
    <w:rsid w:val="6E1119D2"/>
    <w:rsid w:val="6E3631E6"/>
    <w:rsid w:val="6ECA6097"/>
    <w:rsid w:val="6EF2710D"/>
    <w:rsid w:val="6F0E7CBF"/>
    <w:rsid w:val="6F7E4E45"/>
    <w:rsid w:val="6F9B1682"/>
    <w:rsid w:val="6FB56B53"/>
    <w:rsid w:val="6FC0545D"/>
    <w:rsid w:val="6FE86762"/>
    <w:rsid w:val="707B3132"/>
    <w:rsid w:val="70A26911"/>
    <w:rsid w:val="70AC7790"/>
    <w:rsid w:val="70B52AE8"/>
    <w:rsid w:val="70B825D8"/>
    <w:rsid w:val="70DA2010"/>
    <w:rsid w:val="70F03B20"/>
    <w:rsid w:val="710C022E"/>
    <w:rsid w:val="71145A61"/>
    <w:rsid w:val="71153587"/>
    <w:rsid w:val="714D2D21"/>
    <w:rsid w:val="71775FF0"/>
    <w:rsid w:val="71990EE6"/>
    <w:rsid w:val="71AD7C63"/>
    <w:rsid w:val="71C1726B"/>
    <w:rsid w:val="71D46F9E"/>
    <w:rsid w:val="71E35F73"/>
    <w:rsid w:val="71F24946"/>
    <w:rsid w:val="720819B5"/>
    <w:rsid w:val="722E4900"/>
    <w:rsid w:val="72541E8D"/>
    <w:rsid w:val="72640F9D"/>
    <w:rsid w:val="726D6B7F"/>
    <w:rsid w:val="726F4F19"/>
    <w:rsid w:val="72A24A9F"/>
    <w:rsid w:val="72B55050"/>
    <w:rsid w:val="731A6C33"/>
    <w:rsid w:val="736E6F7E"/>
    <w:rsid w:val="737427E7"/>
    <w:rsid w:val="740A6CA7"/>
    <w:rsid w:val="740D6797"/>
    <w:rsid w:val="740F4AEB"/>
    <w:rsid w:val="742064CB"/>
    <w:rsid w:val="74211E4C"/>
    <w:rsid w:val="74357A75"/>
    <w:rsid w:val="74A76BEC"/>
    <w:rsid w:val="74B23A83"/>
    <w:rsid w:val="74C0380A"/>
    <w:rsid w:val="74E514C2"/>
    <w:rsid w:val="75153B55"/>
    <w:rsid w:val="75504B8E"/>
    <w:rsid w:val="75530B22"/>
    <w:rsid w:val="756464DB"/>
    <w:rsid w:val="756D1BE3"/>
    <w:rsid w:val="756E14B8"/>
    <w:rsid w:val="757E5B9F"/>
    <w:rsid w:val="75801D1F"/>
    <w:rsid w:val="75B55A52"/>
    <w:rsid w:val="76266F31"/>
    <w:rsid w:val="762D342B"/>
    <w:rsid w:val="76375D4D"/>
    <w:rsid w:val="767E1BCE"/>
    <w:rsid w:val="769E5DCD"/>
    <w:rsid w:val="76D12064"/>
    <w:rsid w:val="76E62CF0"/>
    <w:rsid w:val="76FA74A7"/>
    <w:rsid w:val="770519A8"/>
    <w:rsid w:val="77642B72"/>
    <w:rsid w:val="776E579F"/>
    <w:rsid w:val="77770AF7"/>
    <w:rsid w:val="77B954F4"/>
    <w:rsid w:val="77E63921"/>
    <w:rsid w:val="77FD0594"/>
    <w:rsid w:val="7800416F"/>
    <w:rsid w:val="78570929"/>
    <w:rsid w:val="78B65D69"/>
    <w:rsid w:val="78E43A23"/>
    <w:rsid w:val="78EA2407"/>
    <w:rsid w:val="79490272"/>
    <w:rsid w:val="79621333"/>
    <w:rsid w:val="79815C5D"/>
    <w:rsid w:val="799F60E4"/>
    <w:rsid w:val="79A656C4"/>
    <w:rsid w:val="79C0641C"/>
    <w:rsid w:val="7A1775E0"/>
    <w:rsid w:val="7A195E96"/>
    <w:rsid w:val="7A353362"/>
    <w:rsid w:val="7A447D04"/>
    <w:rsid w:val="7A831D0B"/>
    <w:rsid w:val="7A8D23E0"/>
    <w:rsid w:val="7B0A57DF"/>
    <w:rsid w:val="7B11367A"/>
    <w:rsid w:val="7B114CFF"/>
    <w:rsid w:val="7B292109"/>
    <w:rsid w:val="7B62386D"/>
    <w:rsid w:val="7B725FD5"/>
    <w:rsid w:val="7BA93249"/>
    <w:rsid w:val="7C3311E0"/>
    <w:rsid w:val="7C725D31"/>
    <w:rsid w:val="7CA73C2D"/>
    <w:rsid w:val="7CCC21A4"/>
    <w:rsid w:val="7CDA09F6"/>
    <w:rsid w:val="7CEC7892"/>
    <w:rsid w:val="7CFB1883"/>
    <w:rsid w:val="7CFC3E68"/>
    <w:rsid w:val="7D034BDB"/>
    <w:rsid w:val="7D150533"/>
    <w:rsid w:val="7D3E5C13"/>
    <w:rsid w:val="7D584F27"/>
    <w:rsid w:val="7E1C41A7"/>
    <w:rsid w:val="7E2A3C98"/>
    <w:rsid w:val="7E665422"/>
    <w:rsid w:val="7E7F0292"/>
    <w:rsid w:val="7E826997"/>
    <w:rsid w:val="7E8A2FDF"/>
    <w:rsid w:val="7ED83E28"/>
    <w:rsid w:val="7EDB7BBE"/>
    <w:rsid w:val="7EE33B7E"/>
    <w:rsid w:val="7F282F1B"/>
    <w:rsid w:val="7F847AC4"/>
    <w:rsid w:val="7FB0104A"/>
    <w:rsid w:val="7FCB1385"/>
    <w:rsid w:val="7FE665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3">
    <w:name w:val="heading 1"/>
    <w:next w:val="1"/>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basedOn w:val="1"/>
    <w:next w:val="1"/>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5">
    <w:name w:val="heading 3"/>
    <w:basedOn w:val="1"/>
    <w:next w:val="1"/>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1"/>
    <w:link w:val="162"/>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1"/>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1"/>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1"/>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1"/>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90">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link w:val="1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93" w:beforeLines="30" w:after="156"/>
    </w:pPr>
    <w:rPr>
      <w:rFonts w:ascii="Courier New" w:hAnsi="Courier New" w:eastAsia="宋体" w:cs="Courier New"/>
      <w:kern w:val="2"/>
      <w:sz w:val="24"/>
      <w:szCs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1"/>
        <w:numId w:val="2"/>
      </w:numPr>
      <w:ind w:firstLine="0"/>
    </w:pPr>
  </w:style>
  <w:style w:type="paragraph" w:styleId="15">
    <w:name w:val="table of authorities"/>
    <w:basedOn w:val="1"/>
    <w:next w:val="1"/>
    <w:qFormat/>
    <w:uiPriority w:val="0"/>
    <w:pPr>
      <w:ind w:left="420" w:leftChars="200"/>
    </w:pPr>
  </w:style>
  <w:style w:type="paragraph" w:styleId="16">
    <w:name w:val="Note Heading"/>
    <w:basedOn w:val="1"/>
    <w:next w:val="1"/>
    <w:link w:val="158"/>
    <w:qFormat/>
    <w:uiPriority w:val="0"/>
    <w:pPr>
      <w:jc w:val="center"/>
    </w:pPr>
    <w:rPr>
      <w:rFonts w:ascii="汉仪中宋简" w:hAnsi="汉仪中宋简" w:eastAsia="汉仪中宋简"/>
      <w:kern w:val="2"/>
      <w:sz w:val="24"/>
      <w:szCs w:val="24"/>
    </w:rPr>
  </w:style>
  <w:style w:type="paragraph" w:styleId="17">
    <w:name w:val="List Bullet 4"/>
    <w:basedOn w:val="1"/>
    <w:qFormat/>
    <w:uiPriority w:val="0"/>
    <w:pPr>
      <w:numPr>
        <w:ilvl w:val="0"/>
        <w:numId w:val="3"/>
      </w:numPr>
      <w:spacing w:before="30"/>
      <w:ind w:left="1701" w:hanging="397"/>
    </w:pPr>
    <w:rPr>
      <w:rFonts w:asciiTheme="minorHAnsi" w:hAnsiTheme="minorHAnsi"/>
    </w:rPr>
  </w:style>
  <w:style w:type="paragraph" w:styleId="18">
    <w:name w:val="index 8"/>
    <w:basedOn w:val="1"/>
    <w:next w:val="1"/>
    <w:qFormat/>
    <w:uiPriority w:val="0"/>
    <w:pPr>
      <w:ind w:left="1400" w:leftChars="1400"/>
    </w:pPr>
  </w:style>
  <w:style w:type="paragraph" w:styleId="19">
    <w:name w:val="E-mail Signature"/>
    <w:basedOn w:val="1"/>
    <w:link w:val="138"/>
    <w:qFormat/>
    <w:uiPriority w:val="0"/>
    <w:rPr>
      <w:rFonts w:ascii="汉仪中宋简" w:hAnsi="汉仪中宋简" w:eastAsia="汉仪中宋简"/>
      <w:kern w:val="2"/>
      <w:sz w:val="24"/>
      <w:szCs w:val="24"/>
    </w:rPr>
  </w:style>
  <w:style w:type="paragraph" w:styleId="20">
    <w:name w:val="List Number"/>
    <w:basedOn w:val="1"/>
    <w:qFormat/>
    <w:uiPriority w:val="0"/>
    <w:pPr>
      <w:numPr>
        <w:ilvl w:val="0"/>
        <w:numId w:val="2"/>
      </w:numPr>
      <w:ind w:firstLine="0"/>
    </w:pPr>
  </w:style>
  <w:style w:type="paragraph" w:styleId="21">
    <w:name w:val="Normal Indent"/>
    <w:basedOn w:val="1"/>
    <w:qFormat/>
    <w:uiPriority w:val="0"/>
    <w:pPr>
      <w:ind w:firstLine="420" w:firstLineChars="200"/>
    </w:pPr>
  </w:style>
  <w:style w:type="paragraph" w:styleId="22">
    <w:name w:val="caption"/>
    <w:basedOn w:val="1"/>
    <w:next w:val="1"/>
    <w:unhideWhenUsed/>
    <w:qFormat/>
    <w:uiPriority w:val="0"/>
    <w:rPr>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tabs>
        <w:tab w:val="left" w:pos="420"/>
      </w:tabs>
      <w:spacing w:before="30"/>
      <w:ind w:left="445" w:leftChars="20" w:hanging="397"/>
    </w:pPr>
    <w:rPr>
      <w:rFonts w:asciiTheme="minorHAnsi" w:hAnsiTheme="minorHAnsi"/>
    </w:rPr>
  </w:style>
  <w:style w:type="paragraph" w:styleId="25">
    <w:name w:val="envelope address"/>
    <w:basedOn w:val="1"/>
    <w:qFormat/>
    <w:uiPriority w:val="0"/>
    <w:pPr>
      <w:framePr w:w="7920" w:h="1980" w:hRule="exact" w:hSpace="180" w:wrap="around"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146"/>
    <w:qFormat/>
    <w:uiPriority w:val="0"/>
    <w:rPr>
      <w:rFonts w:ascii="Microsoft YaHei UI" w:hAnsi="汉仪中宋简" w:eastAsia="Microsoft YaHei UI"/>
      <w:kern w:val="2"/>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36"/>
    <w:qFormat/>
    <w:uiPriority w:val="0"/>
    <w:rPr>
      <w:rFonts w:ascii="汉仪中宋简" w:hAnsi="汉仪中宋简" w:eastAsia="汉仪中宋简"/>
      <w:kern w:val="2"/>
      <w:sz w:val="24"/>
      <w:szCs w:val="24"/>
    </w:rPr>
  </w:style>
  <w:style w:type="paragraph" w:styleId="31">
    <w:name w:val="Body Text 3"/>
    <w:basedOn w:val="1"/>
    <w:link w:val="151"/>
    <w:qFormat/>
    <w:uiPriority w:val="0"/>
    <w:pPr>
      <w:spacing w:after="120"/>
    </w:pPr>
    <w:rPr>
      <w:rFonts w:ascii="汉仪中宋简" w:hAnsi="汉仪中宋简" w:eastAsia="汉仪中宋简"/>
      <w:kern w:val="2"/>
      <w:sz w:val="16"/>
      <w:szCs w:val="16"/>
    </w:rPr>
  </w:style>
  <w:style w:type="paragraph" w:styleId="32">
    <w:name w:val="Closing"/>
    <w:basedOn w:val="1"/>
    <w:link w:val="140"/>
    <w:qFormat/>
    <w:uiPriority w:val="0"/>
    <w:pPr>
      <w:ind w:left="100" w:leftChars="2100"/>
    </w:pPr>
    <w:rPr>
      <w:rFonts w:ascii="汉仪中宋简" w:hAnsi="汉仪中宋简" w:eastAsia="汉仪中宋简"/>
      <w:kern w:val="2"/>
      <w:sz w:val="24"/>
      <w:szCs w:val="24"/>
    </w:rPr>
  </w:style>
  <w:style w:type="paragraph" w:styleId="33">
    <w:name w:val="List Bullet 3"/>
    <w:basedOn w:val="1"/>
    <w:qFormat/>
    <w:uiPriority w:val="0"/>
    <w:pPr>
      <w:numPr>
        <w:ilvl w:val="0"/>
        <w:numId w:val="5"/>
      </w:numPr>
      <w:tabs>
        <w:tab w:val="clear" w:pos="1259"/>
      </w:tabs>
      <w:spacing w:before="30"/>
      <w:ind w:left="1304" w:hanging="397"/>
    </w:pPr>
    <w:rPr>
      <w:rFonts w:asciiTheme="minorHAnsi" w:hAnsiTheme="minorHAnsi"/>
    </w:rPr>
  </w:style>
  <w:style w:type="paragraph" w:styleId="34">
    <w:name w:val="Body Text"/>
    <w:basedOn w:val="1"/>
    <w:link w:val="152"/>
    <w:qFormat/>
    <w:uiPriority w:val="0"/>
    <w:pPr>
      <w:spacing w:before="100" w:after="100" w:afterLines="0" w:afterAutospacing="0" w:line="300" w:lineRule="auto"/>
      <w:ind w:firstLine="1124" w:firstLineChars="200"/>
    </w:pPr>
    <w:rPr>
      <w:rFonts w:ascii="Times New Roman" w:hAnsi="Times New Roman"/>
    </w:rPr>
  </w:style>
  <w:style w:type="paragraph" w:styleId="35">
    <w:name w:val="Body Text Indent"/>
    <w:basedOn w:val="1"/>
    <w:link w:val="154"/>
    <w:qFormat/>
    <w:uiPriority w:val="0"/>
    <w:pPr>
      <w:spacing w:after="120"/>
      <w:ind w:left="420" w:leftChars="200"/>
    </w:pPr>
    <w:rPr>
      <w:rFonts w:ascii="汉仪中宋简" w:hAnsi="汉仪中宋简" w:eastAsia="汉仪中宋简"/>
      <w:kern w:val="2"/>
      <w:sz w:val="24"/>
      <w:szCs w:val="24"/>
    </w:rPr>
  </w:style>
  <w:style w:type="paragraph" w:styleId="36">
    <w:name w:val="List Number 3"/>
    <w:basedOn w:val="1"/>
    <w:qFormat/>
    <w:uiPriority w:val="0"/>
    <w:pPr>
      <w:numPr>
        <w:ilvl w:val="2"/>
        <w:numId w:val="2"/>
      </w:numPr>
      <w:ind w:left="850" w:hanging="85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6"/>
      </w:numPr>
      <w:spacing w:before="30"/>
      <w:ind w:left="850" w:hanging="397"/>
    </w:pPr>
    <w:rPr>
      <w:rFonts w:asciiTheme="minorHAnsi" w:hAnsiTheme="minorHAnsi"/>
    </w:rPr>
  </w:style>
  <w:style w:type="paragraph" w:styleId="41">
    <w:name w:val="HTML Address"/>
    <w:basedOn w:val="1"/>
    <w:link w:val="133"/>
    <w:qFormat/>
    <w:uiPriority w:val="0"/>
    <w:rPr>
      <w:rFonts w:ascii="汉仪中宋简" w:hAnsi="汉仪中宋简" w:eastAsia="汉仪中宋简"/>
      <w:i/>
      <w:iCs/>
      <w:kern w:val="2"/>
      <w:sz w:val="24"/>
      <w:szCs w:val="24"/>
    </w:rPr>
  </w:style>
  <w:style w:type="paragraph" w:styleId="42">
    <w:name w:val="index 4"/>
    <w:basedOn w:val="1"/>
    <w:next w:val="1"/>
    <w:qFormat/>
    <w:uiPriority w:val="0"/>
    <w:pPr>
      <w:ind w:left="600" w:leftChars="600"/>
    </w:pPr>
  </w:style>
  <w:style w:type="paragraph" w:styleId="43">
    <w:name w:val="toc 5"/>
    <w:basedOn w:val="1"/>
    <w:next w:val="1"/>
    <w:link w:val="125"/>
    <w:qFormat/>
    <w:uiPriority w:val="0"/>
    <w:pPr>
      <w:ind w:left="2211"/>
    </w:pPr>
  </w:style>
  <w:style w:type="paragraph" w:styleId="44">
    <w:name w:val="toc 3"/>
    <w:basedOn w:val="1"/>
    <w:next w:val="1"/>
    <w:link w:val="123"/>
    <w:qFormat/>
    <w:uiPriority w:val="0"/>
    <w:pPr>
      <w:ind w:left="1191"/>
    </w:pPr>
  </w:style>
  <w:style w:type="paragraph" w:styleId="45">
    <w:name w:val="Plain Text"/>
    <w:basedOn w:val="1"/>
    <w:link w:val="137"/>
    <w:qFormat/>
    <w:uiPriority w:val="0"/>
    <w:rPr>
      <w:rFonts w:hAnsi="Courier New" w:cs="Courier New" w:asciiTheme="minorEastAsia"/>
      <w:kern w:val="2"/>
      <w:sz w:val="24"/>
      <w:szCs w:val="24"/>
    </w:rPr>
  </w:style>
  <w:style w:type="paragraph" w:styleId="46">
    <w:name w:val="List Bullet 5"/>
    <w:basedOn w:val="1"/>
    <w:link w:val="175"/>
    <w:qFormat/>
    <w:uiPriority w:val="0"/>
    <w:pPr>
      <w:numPr>
        <w:ilvl w:val="0"/>
        <w:numId w:val="7"/>
      </w:numPr>
      <w:spacing w:before="30"/>
      <w:ind w:hanging="397"/>
    </w:pPr>
  </w:style>
  <w:style w:type="paragraph" w:styleId="47">
    <w:name w:val="List Number 4"/>
    <w:basedOn w:val="1"/>
    <w:qFormat/>
    <w:uiPriority w:val="0"/>
    <w:pPr>
      <w:numPr>
        <w:ilvl w:val="3"/>
        <w:numId w:val="2"/>
      </w:numPr>
      <w:ind w:left="1134" w:hanging="1134"/>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44"/>
    <w:qFormat/>
    <w:uiPriority w:val="0"/>
    <w:pPr>
      <w:ind w:left="100" w:leftChars="2500"/>
    </w:pPr>
    <w:rPr>
      <w:rFonts w:ascii="汉仪中宋简" w:hAnsi="汉仪中宋简" w:eastAsia="汉仪中宋简"/>
      <w:kern w:val="2"/>
      <w:sz w:val="24"/>
      <w:szCs w:val="24"/>
    </w:rPr>
  </w:style>
  <w:style w:type="paragraph" w:styleId="51">
    <w:name w:val="Body Text Indent 2"/>
    <w:basedOn w:val="1"/>
    <w:link w:val="156"/>
    <w:qFormat/>
    <w:uiPriority w:val="0"/>
    <w:pPr>
      <w:spacing w:after="120" w:line="480" w:lineRule="auto"/>
      <w:ind w:left="420" w:leftChars="200"/>
    </w:pPr>
    <w:rPr>
      <w:rFonts w:ascii="汉仪中宋简" w:hAnsi="汉仪中宋简" w:eastAsia="汉仪中宋简"/>
      <w:kern w:val="2"/>
      <w:sz w:val="24"/>
      <w:szCs w:val="24"/>
    </w:rPr>
  </w:style>
  <w:style w:type="paragraph" w:styleId="52">
    <w:name w:val="endnote text"/>
    <w:basedOn w:val="1"/>
    <w:qFormat/>
    <w:uiPriority w:val="0"/>
    <w:pPr>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jc w:val="center"/>
    </w:pPr>
    <w:rPr>
      <w:sz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before="30"/>
      <w:jc w:val="center"/>
    </w:pPr>
    <w:rPr>
      <w:sz w:val="18"/>
      <w:szCs w:val="18"/>
    </w:rPr>
  </w:style>
  <w:style w:type="paragraph" w:styleId="58">
    <w:name w:val="Signature"/>
    <w:basedOn w:val="1"/>
    <w:link w:val="143"/>
    <w:qFormat/>
    <w:uiPriority w:val="0"/>
    <w:pPr>
      <w:ind w:left="100" w:leftChars="2100"/>
    </w:pPr>
    <w:rPr>
      <w:rFonts w:ascii="汉仪中宋简" w:hAnsi="汉仪中宋简" w:eastAsia="汉仪中宋简"/>
      <w:kern w:val="2"/>
      <w:sz w:val="24"/>
      <w:szCs w:val="24"/>
    </w:rPr>
  </w:style>
  <w:style w:type="paragraph" w:styleId="59">
    <w:name w:val="toc 1"/>
    <w:basedOn w:val="1"/>
    <w:next w:val="1"/>
    <w:link w:val="121"/>
    <w:qFormat/>
    <w:uiPriority w:val="0"/>
  </w:style>
  <w:style w:type="paragraph" w:styleId="60">
    <w:name w:val="List Continue 4"/>
    <w:basedOn w:val="1"/>
    <w:qFormat/>
    <w:uiPriority w:val="0"/>
    <w:pPr>
      <w:spacing w:after="120"/>
      <w:ind w:left="1680" w:leftChars="800"/>
      <w:contextualSpacing/>
    </w:pPr>
  </w:style>
  <w:style w:type="paragraph" w:styleId="61">
    <w:name w:val="toc 4"/>
    <w:basedOn w:val="1"/>
    <w:next w:val="1"/>
    <w:link w:val="124"/>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link w:val="16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65">
    <w:name w:val="List Number 5"/>
    <w:basedOn w:val="1"/>
    <w:qFormat/>
    <w:uiPriority w:val="0"/>
    <w:pPr>
      <w:numPr>
        <w:ilvl w:val="4"/>
        <w:numId w:val="2"/>
      </w:numPr>
      <w:ind w:left="1417" w:hanging="1417"/>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57"/>
    <w:qFormat/>
    <w:uiPriority w:val="0"/>
    <w:pPr>
      <w:spacing w:after="120"/>
      <w:ind w:left="420" w:leftChars="200"/>
    </w:pPr>
    <w:rPr>
      <w:rFonts w:ascii="汉仪中宋简" w:hAnsi="汉仪中宋简" w:eastAsia="汉仪中宋简"/>
      <w:kern w:val="2"/>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link w:val="122"/>
    <w:qFormat/>
    <w:uiPriority w:val="0"/>
    <w:pPr>
      <w:ind w:left="624"/>
    </w:pPr>
  </w:style>
  <w:style w:type="paragraph" w:styleId="75">
    <w:name w:val="toc 9"/>
    <w:basedOn w:val="1"/>
    <w:next w:val="1"/>
    <w:qFormat/>
    <w:uiPriority w:val="0"/>
    <w:pPr>
      <w:ind w:left="3360" w:leftChars="1600"/>
    </w:pPr>
  </w:style>
  <w:style w:type="paragraph" w:styleId="76">
    <w:name w:val="Body Text 2"/>
    <w:basedOn w:val="1"/>
    <w:link w:val="150"/>
    <w:qFormat/>
    <w:uiPriority w:val="0"/>
    <w:pPr>
      <w:spacing w:after="120" w:line="480" w:lineRule="auto"/>
    </w:pPr>
    <w:rPr>
      <w:rFonts w:ascii="汉仪中宋简" w:hAnsi="汉仪中宋简" w:eastAsia="汉仪中宋简"/>
      <w:kern w:val="2"/>
      <w:sz w:val="24"/>
      <w:szCs w:val="24"/>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kern w:val="2"/>
      <w:sz w:val="24"/>
      <w:szCs w:val="24"/>
      <w:shd w:val="pct20" w:color="auto" w:fill="auto"/>
    </w:rPr>
  </w:style>
  <w:style w:type="paragraph" w:styleId="80">
    <w:name w:val="HTML Preformatted"/>
    <w:basedOn w:val="1"/>
    <w:link w:val="134"/>
    <w:qFormat/>
    <w:uiPriority w:val="0"/>
    <w:rPr>
      <w:rFonts w:ascii="Courier New" w:hAnsi="Courier New" w:eastAsia="汉仪中宋简" w:cs="Courier New"/>
      <w:kern w:val="2"/>
    </w:rPr>
  </w:style>
  <w:style w:type="paragraph" w:styleId="81">
    <w:name w:val="Normal (Web)"/>
    <w:basedOn w:val="1"/>
    <w:qFormat/>
    <w:uiPriority w:val="0"/>
    <w:rPr>
      <w:rFonts w:ascii="Times New Roman" w:hAnsi="Times New Roman" w:cs="Times New Roman"/>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link w:val="120"/>
    <w:qFormat/>
    <w:uiPriority w:val="10"/>
    <w:pPr>
      <w:spacing w:line="240" w:lineRule="auto"/>
      <w:ind w:firstLine="0" w:firstLineChars="0"/>
      <w:jc w:val="center"/>
      <w:outlineLvl w:val="9"/>
    </w:pPr>
    <w:rPr>
      <w:rFonts w:asciiTheme="majorEastAsia" w:hAnsiTheme="majorEastAsia"/>
      <w:b/>
      <w:sz w:val="52"/>
      <w:szCs w:val="44"/>
    </w:rPr>
  </w:style>
  <w:style w:type="paragraph" w:styleId="85">
    <w:name w:val="annotation subject"/>
    <w:basedOn w:val="28"/>
    <w:next w:val="28"/>
    <w:qFormat/>
    <w:uiPriority w:val="0"/>
    <w:rPr>
      <w:b/>
      <w:bCs/>
    </w:rPr>
  </w:style>
  <w:style w:type="paragraph" w:styleId="86">
    <w:name w:val="Body Text First Indent"/>
    <w:basedOn w:val="34"/>
    <w:link w:val="153"/>
    <w:qFormat/>
    <w:uiPriority w:val="0"/>
    <w:pPr>
      <w:spacing w:before="93" w:after="120" w:afterLines="0"/>
      <w:ind w:firstLine="420" w:firstLineChars="100"/>
    </w:pPr>
    <w:rPr>
      <w:rFonts w:ascii="汉仪中宋简" w:hAnsi="汉仪中宋简" w:eastAsia="汉仪中宋简"/>
      <w:kern w:val="2"/>
      <w:sz w:val="24"/>
      <w:szCs w:val="24"/>
    </w:rPr>
  </w:style>
  <w:style w:type="paragraph" w:styleId="87">
    <w:name w:val="Body Text First Indent 2"/>
    <w:basedOn w:val="35"/>
    <w:link w:val="155"/>
    <w:qFormat/>
    <w:uiPriority w:val="0"/>
    <w:pPr>
      <w:ind w:firstLine="420" w:firstLineChars="200"/>
    </w:pPr>
    <w:rPr>
      <w:rFonts w:ascii="汉仪中宋简" w:hAnsi="汉仪中宋简" w:eastAsia="汉仪中宋简"/>
      <w:kern w:val="2"/>
      <w:sz w:val="24"/>
      <w:szCs w:val="24"/>
    </w:r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rFonts w:ascii="Arial" w:hAnsi="Arial" w:eastAsia="黑体"/>
      <w:b/>
      <w:color w:val="4874CB" w:themeColor="accent1"/>
      <w:u w:val="single"/>
      <w14:textFill>
        <w14:solidFill>
          <w14:schemeClr w14:val="accent1"/>
        </w14:solidFill>
      </w14:textFill>
    </w:rPr>
  </w:style>
  <w:style w:type="character" w:styleId="92">
    <w:name w:val="endnote reference"/>
    <w:basedOn w:val="90"/>
    <w:qFormat/>
    <w:uiPriority w:val="0"/>
    <w:rPr>
      <w:rFonts w:ascii="汉仪中宋简" w:hAnsi="汉仪中宋简" w:eastAsia="汉仪中宋简"/>
      <w:sz w:val="28"/>
      <w:szCs w:val="28"/>
      <w:vertAlign w:val="superscript"/>
    </w:rPr>
  </w:style>
  <w:style w:type="character" w:styleId="93">
    <w:name w:val="page number"/>
    <w:basedOn w:val="90"/>
    <w:qFormat/>
    <w:uiPriority w:val="0"/>
    <w:rPr>
      <w:rFonts w:ascii="汉仪中宋简" w:hAnsi="汉仪中宋简" w:eastAsia="汉仪中宋简"/>
      <w:color w:val="808080" w:themeColor="background1" w:themeShade="80"/>
    </w:rPr>
  </w:style>
  <w:style w:type="character" w:styleId="94">
    <w:name w:val="FollowedHyperlink"/>
    <w:basedOn w:val="90"/>
    <w:qFormat/>
    <w:uiPriority w:val="0"/>
    <w:rPr>
      <w:rFonts w:ascii="汉仪中宋简" w:hAnsi="汉仪中宋简" w:eastAsia="汉仪中宋简" w:cstheme="minorBidi"/>
      <w:color w:val="800080"/>
      <w:kern w:val="2"/>
      <w:sz w:val="24"/>
      <w:szCs w:val="24"/>
      <w:u w:val="single"/>
      <w:lang w:val="en-US" w:eastAsia="zh-CN" w:bidi="ar-SA"/>
    </w:rPr>
  </w:style>
  <w:style w:type="character" w:styleId="95">
    <w:name w:val="Emphasis"/>
    <w:basedOn w:val="90"/>
    <w:qFormat/>
    <w:uiPriority w:val="20"/>
    <w:rPr>
      <w:rFonts w:ascii="Arial" w:hAnsi="Arial" w:eastAsia="黑体"/>
      <w:b/>
      <w:bCs/>
      <w:i/>
      <w:color w:val="C00000"/>
      <w:sz w:val="24"/>
      <w:szCs w:val="22"/>
    </w:rPr>
  </w:style>
  <w:style w:type="character" w:styleId="96">
    <w:name w:val="line number"/>
    <w:basedOn w:val="90"/>
    <w:qFormat/>
    <w:uiPriority w:val="0"/>
    <w:rPr>
      <w:rFonts w:ascii="宋体" w:hAnsi="宋体" w:eastAsia="宋体"/>
    </w:rPr>
  </w:style>
  <w:style w:type="character" w:styleId="97">
    <w:name w:val="HTML Definition"/>
    <w:basedOn w:val="90"/>
    <w:qFormat/>
    <w:uiPriority w:val="0"/>
    <w:rPr>
      <w:rFonts w:ascii="宋体" w:hAnsi="宋体" w:eastAsia="宋体"/>
      <w:i/>
      <w:iCs/>
    </w:rPr>
  </w:style>
  <w:style w:type="character" w:styleId="98">
    <w:name w:val="HTML Typewriter"/>
    <w:basedOn w:val="90"/>
    <w:qFormat/>
    <w:uiPriority w:val="0"/>
    <w:rPr>
      <w:rFonts w:ascii="宋体" w:hAnsi="宋体" w:eastAsia="宋体" w:cs="Courier New"/>
      <w:sz w:val="20"/>
      <w:szCs w:val="20"/>
    </w:rPr>
  </w:style>
  <w:style w:type="character" w:styleId="99">
    <w:name w:val="HTML Acronym"/>
    <w:basedOn w:val="90"/>
    <w:qFormat/>
    <w:uiPriority w:val="0"/>
    <w:rPr>
      <w:rFonts w:ascii="宋体" w:hAnsi="宋体" w:eastAsia="宋体"/>
    </w:rPr>
  </w:style>
  <w:style w:type="character" w:styleId="100">
    <w:name w:val="HTML Variable"/>
    <w:basedOn w:val="90"/>
    <w:qFormat/>
    <w:uiPriority w:val="0"/>
    <w:rPr>
      <w:rFonts w:ascii="宋体" w:hAnsi="宋体" w:eastAsia="宋体"/>
      <w:i/>
      <w:iCs/>
    </w:rPr>
  </w:style>
  <w:style w:type="character" w:styleId="101">
    <w:name w:val="Hyperlink"/>
    <w:basedOn w:val="90"/>
    <w:qFormat/>
    <w:uiPriority w:val="0"/>
    <w:rPr>
      <w:rFonts w:ascii="汉仪中宋简" w:hAnsi="汉仪中宋简" w:eastAsia="汉仪中宋简" w:cstheme="minorBidi"/>
      <w:color w:val="0000FF"/>
      <w:kern w:val="2"/>
      <w:sz w:val="24"/>
      <w:szCs w:val="24"/>
      <w:u w:val="single"/>
      <w:lang w:val="en-US" w:eastAsia="zh-CN" w:bidi="ar-SA"/>
    </w:rPr>
  </w:style>
  <w:style w:type="character" w:styleId="102">
    <w:name w:val="HTML Code"/>
    <w:basedOn w:val="90"/>
    <w:qFormat/>
    <w:uiPriority w:val="0"/>
    <w:rPr>
      <w:rFonts w:ascii="宋体" w:hAnsi="宋体" w:eastAsia="宋体" w:cs="Courier New"/>
      <w:sz w:val="20"/>
      <w:szCs w:val="20"/>
    </w:rPr>
  </w:style>
  <w:style w:type="character" w:styleId="103">
    <w:name w:val="annotation reference"/>
    <w:basedOn w:val="90"/>
    <w:qFormat/>
    <w:uiPriority w:val="0"/>
    <w:rPr>
      <w:sz w:val="21"/>
    </w:rPr>
  </w:style>
  <w:style w:type="character" w:styleId="104">
    <w:name w:val="HTML Cite"/>
    <w:basedOn w:val="90"/>
    <w:qFormat/>
    <w:uiPriority w:val="0"/>
    <w:rPr>
      <w:rFonts w:ascii="宋体" w:hAnsi="宋体" w:eastAsia="宋体"/>
      <w:i/>
      <w:iCs/>
    </w:rPr>
  </w:style>
  <w:style w:type="character" w:styleId="105">
    <w:name w:val="footnote reference"/>
    <w:basedOn w:val="90"/>
    <w:qFormat/>
    <w:uiPriority w:val="0"/>
    <w:rPr>
      <w:rFonts w:ascii="汉仪中宋简" w:hAnsi="汉仪中宋简" w:eastAsia="汉仪中宋简"/>
      <w:sz w:val="28"/>
      <w:szCs w:val="28"/>
      <w:vertAlign w:val="superscript"/>
    </w:rPr>
  </w:style>
  <w:style w:type="character" w:styleId="106">
    <w:name w:val="HTML Keyboard"/>
    <w:basedOn w:val="90"/>
    <w:qFormat/>
    <w:uiPriority w:val="0"/>
    <w:rPr>
      <w:rFonts w:ascii="宋体" w:hAnsi="宋体" w:eastAsia="宋体" w:cs="Courier New"/>
      <w:sz w:val="20"/>
      <w:szCs w:val="20"/>
    </w:rPr>
  </w:style>
  <w:style w:type="character" w:styleId="107">
    <w:name w:val="HTML Sample"/>
    <w:basedOn w:val="90"/>
    <w:qFormat/>
    <w:uiPriority w:val="0"/>
    <w:rPr>
      <w:rFonts w:ascii="宋体" w:hAnsi="宋体" w:eastAsia="宋体" w:cs="Courier New"/>
    </w:rPr>
  </w:style>
  <w:style w:type="paragraph" w:customStyle="1" w:styleId="108">
    <w:name w:val="_Style 2"/>
    <w:qFormat/>
    <w:uiPriority w:val="0"/>
    <w:pPr>
      <w:wordWrap w:val="0"/>
    </w:pPr>
    <w:rPr>
      <w:rFonts w:ascii="Times New Roman" w:hAnsi="Times New Roman" w:eastAsia="Times New Roman" w:cs="Times New Roman"/>
      <w:sz w:val="32"/>
      <w:szCs w:val="22"/>
      <w:lang w:val="en-US" w:eastAsia="zh-CN" w:bidi="ar-SA"/>
    </w:rPr>
  </w:style>
  <w:style w:type="paragraph" w:customStyle="1" w:styleId="109">
    <w:name w:val="List Paragraph"/>
    <w:basedOn w:val="1"/>
    <w:qFormat/>
    <w:uiPriority w:val="99"/>
    <w:pPr>
      <w:ind w:firstLine="420" w:firstLineChars="200"/>
    </w:pPr>
  </w:style>
  <w:style w:type="paragraph" w:styleId="110">
    <w:name w:val="No Spacing"/>
    <w:qFormat/>
    <w:uiPriority w:val="99"/>
    <w:pPr>
      <w:widowControl w:val="0"/>
      <w:adjustRightInd w:val="0"/>
      <w:snapToGrid w:val="0"/>
      <w:spacing w:beforeLines="30"/>
      <w:jc w:val="both"/>
    </w:pPr>
    <w:rPr>
      <w:rFonts w:ascii="汉仪中宋简" w:hAnsi="汉仪中宋简" w:eastAsia="汉仪中宋简" w:cstheme="minorBidi"/>
      <w:kern w:val="2"/>
      <w:sz w:val="24"/>
      <w:szCs w:val="24"/>
      <w:lang w:val="en-US" w:eastAsia="zh-CN" w:bidi="ar-SA"/>
    </w:rPr>
  </w:style>
  <w:style w:type="character" w:customStyle="1" w:styleId="111">
    <w:name w:val="NormalCharacter"/>
    <w:qFormat/>
    <w:uiPriority w:val="0"/>
  </w:style>
  <w:style w:type="character" w:customStyle="1" w:styleId="112">
    <w:name w:val="font31"/>
    <w:basedOn w:val="90"/>
    <w:qFormat/>
    <w:uiPriority w:val="0"/>
    <w:rPr>
      <w:rFonts w:hint="default" w:ascii="Times New Roman" w:hAnsi="Times New Roman" w:cs="Times New Roman"/>
      <w:color w:val="000000"/>
      <w:sz w:val="24"/>
      <w:szCs w:val="24"/>
      <w:u w:val="none"/>
    </w:rPr>
  </w:style>
  <w:style w:type="character" w:customStyle="1" w:styleId="113">
    <w:name w:val="font41"/>
    <w:basedOn w:val="90"/>
    <w:qFormat/>
    <w:uiPriority w:val="0"/>
    <w:rPr>
      <w:rFonts w:hint="eastAsia" w:ascii="宋体" w:hAnsi="宋体" w:eastAsia="宋体" w:cs="宋体"/>
      <w:color w:val="000000"/>
      <w:sz w:val="24"/>
      <w:szCs w:val="24"/>
      <w:u w:val="none"/>
    </w:rPr>
  </w:style>
  <w:style w:type="character" w:customStyle="1" w:styleId="114">
    <w:name w:val="UserStyle_17"/>
    <w:basedOn w:val="115"/>
    <w:qFormat/>
    <w:uiPriority w:val="0"/>
    <w:rPr>
      <w:rFonts w:ascii="MingLiU" w:hAnsi="MingLiU" w:eastAsia="MingLiU"/>
      <w:color w:val="000000"/>
      <w:spacing w:val="20"/>
      <w:kern w:val="2"/>
      <w:sz w:val="22"/>
      <w:szCs w:val="22"/>
      <w:lang w:val="zh-TW" w:eastAsia="zh-TW" w:bidi="zh-TW"/>
    </w:rPr>
  </w:style>
  <w:style w:type="character" w:customStyle="1" w:styleId="115">
    <w:name w:val="UserStyle_18"/>
    <w:basedOn w:val="111"/>
    <w:link w:val="116"/>
    <w:qFormat/>
    <w:uiPriority w:val="0"/>
    <w:rPr>
      <w:rFonts w:ascii="MingLiU" w:hAnsi="MingLiU" w:eastAsia="MingLiU"/>
      <w:spacing w:val="20"/>
      <w:kern w:val="2"/>
      <w:sz w:val="22"/>
      <w:szCs w:val="22"/>
    </w:rPr>
  </w:style>
  <w:style w:type="paragraph" w:customStyle="1" w:styleId="116">
    <w:name w:val="UserStyle_20"/>
    <w:basedOn w:val="1"/>
    <w:link w:val="115"/>
    <w:qFormat/>
    <w:uiPriority w:val="0"/>
    <w:pPr>
      <w:shd w:val="clear" w:color="auto" w:fill="FFFFFF"/>
      <w:spacing w:before="100" w:beforeAutospacing="1" w:after="100" w:afterAutospacing="1" w:line="614" w:lineRule="exact"/>
      <w:ind w:hanging="160"/>
      <w:jc w:val="distribute"/>
    </w:pPr>
    <w:rPr>
      <w:rFonts w:ascii="MingLiU" w:hAnsi="MingLiU" w:eastAsia="MingLiU"/>
      <w:spacing w:val="20"/>
      <w:kern w:val="2"/>
      <w:sz w:val="22"/>
      <w:szCs w:val="22"/>
    </w:rPr>
  </w:style>
  <w:style w:type="paragraph" w:customStyle="1" w:styleId="117">
    <w:name w:val="附录标题"/>
    <w:basedOn w:val="1"/>
    <w:qFormat/>
    <w:uiPriority w:val="0"/>
    <w:pPr>
      <w:spacing w:beforeLines="0" w:line="300" w:lineRule="auto"/>
      <w:jc w:val="left"/>
      <w:outlineLvl w:val="0"/>
    </w:pPr>
    <w:rPr>
      <w:rFonts w:hint="eastAsia" w:ascii="Arial" w:hAnsi="Arial"/>
      <w:b/>
      <w:kern w:val="28"/>
      <w:sz w:val="32"/>
    </w:rPr>
  </w:style>
  <w:style w:type="paragraph" w:customStyle="1" w:styleId="118">
    <w:name w:val="题注1"/>
    <w:basedOn w:val="1"/>
    <w:qFormat/>
    <w:uiPriority w:val="0"/>
    <w:pPr>
      <w:jc w:val="center"/>
    </w:pPr>
    <w:rPr>
      <w:rFonts w:hint="default"/>
    </w:rPr>
  </w:style>
  <w:style w:type="paragraph" w:customStyle="1" w:styleId="119">
    <w:name w:val="目录标题"/>
    <w:link w:val="159"/>
    <w:qFormat/>
    <w:uiPriority w:val="0"/>
    <w:pPr>
      <w:jc w:val="center"/>
    </w:pPr>
    <w:rPr>
      <w:rFonts w:ascii="汉仪小隶书简" w:hAnsi="汉仪小隶书简" w:eastAsia="汉仪小隶书简" w:cstheme="minorBidi"/>
      <w:sz w:val="36"/>
      <w:szCs w:val="21"/>
    </w:rPr>
  </w:style>
  <w:style w:type="character" w:customStyle="1" w:styleId="120">
    <w:name w:val="标题 字符"/>
    <w:link w:val="84"/>
    <w:qFormat/>
    <w:uiPriority w:val="10"/>
    <w:rPr>
      <w:rFonts w:asciiTheme="majorEastAsia" w:hAnsiTheme="majorEastAsia"/>
      <w:b/>
      <w:sz w:val="52"/>
      <w:szCs w:val="44"/>
    </w:rPr>
  </w:style>
  <w:style w:type="character" w:customStyle="1" w:styleId="121">
    <w:name w:val="TOC 1 字符"/>
    <w:link w:val="59"/>
    <w:qFormat/>
    <w:uiPriority w:val="39"/>
  </w:style>
  <w:style w:type="character" w:customStyle="1" w:styleId="122">
    <w:name w:val="TOC 2 字符"/>
    <w:link w:val="74"/>
    <w:qFormat/>
    <w:uiPriority w:val="39"/>
  </w:style>
  <w:style w:type="character" w:customStyle="1" w:styleId="123">
    <w:name w:val="TOC 3 字符"/>
    <w:link w:val="44"/>
    <w:qFormat/>
    <w:uiPriority w:val="0"/>
  </w:style>
  <w:style w:type="character" w:customStyle="1" w:styleId="124">
    <w:name w:val="TOC 4 字符"/>
    <w:link w:val="61"/>
    <w:qFormat/>
    <w:uiPriority w:val="0"/>
  </w:style>
  <w:style w:type="character" w:customStyle="1" w:styleId="125">
    <w:name w:val="TOC 5 字符"/>
    <w:link w:val="43"/>
    <w:qFormat/>
    <w:uiPriority w:val="0"/>
  </w:style>
  <w:style w:type="paragraph" w:customStyle="1" w:styleId="126">
    <w:name w:val="文档说明标题"/>
    <w:basedOn w:val="1"/>
    <w:qFormat/>
    <w:uiPriority w:val="0"/>
    <w:pPr>
      <w:jc w:val="center"/>
      <w:outlineLvl w:val="9"/>
    </w:pPr>
    <w:rPr>
      <w:rFonts w:asciiTheme="majorAscii" w:hAnsiTheme="majorAscii"/>
      <w:b/>
      <w:sz w:val="56"/>
      <w:szCs w:val="48"/>
    </w:rPr>
  </w:style>
  <w:style w:type="paragraph" w:customStyle="1" w:styleId="127">
    <w:name w:val="章标题"/>
    <w:basedOn w:val="1"/>
    <w:qFormat/>
    <w:uiPriority w:val="0"/>
    <w:pPr>
      <w:spacing w:before="120" w:beforeLines="0" w:after="60" w:line="300" w:lineRule="auto"/>
      <w:jc w:val="center"/>
      <w:outlineLvl w:val="0"/>
    </w:pPr>
    <w:rPr>
      <w:rFonts w:hint="eastAsia" w:ascii="Arial" w:hAnsi="Arial"/>
      <w:b/>
      <w:kern w:val="28"/>
      <w:sz w:val="40"/>
    </w:rPr>
  </w:style>
  <w:style w:type="paragraph" w:customStyle="1" w:styleId="128">
    <w:name w:val="节标题"/>
    <w:basedOn w:val="1"/>
    <w:qFormat/>
    <w:uiPriority w:val="0"/>
    <w:pPr>
      <w:spacing w:before="120" w:beforeLines="0" w:after="60" w:line="300" w:lineRule="auto"/>
      <w:jc w:val="center"/>
      <w:outlineLvl w:val="0"/>
    </w:pPr>
    <w:rPr>
      <w:rFonts w:hint="eastAsia" w:ascii="Arial" w:hAnsi="Arial"/>
      <w:b/>
      <w:kern w:val="28"/>
      <w:sz w:val="32"/>
    </w:rPr>
  </w:style>
  <w:style w:type="character" w:customStyle="1" w:styleId="129">
    <w:name w:val="摘要"/>
    <w:basedOn w:val="90"/>
    <w:qFormat/>
    <w:uiPriority w:val="0"/>
    <w:rPr>
      <w:rFonts w:hint="eastAsia" w:ascii="Arial" w:hAnsi="Arial"/>
      <w:b/>
      <w:lang w:val="en-US" w:eastAsia="zh-CN"/>
    </w:rPr>
  </w:style>
  <w:style w:type="character" w:customStyle="1" w:styleId="130">
    <w:name w:val="参考文献条目"/>
    <w:basedOn w:val="90"/>
    <w:qFormat/>
    <w:uiPriority w:val="0"/>
    <w:rPr>
      <w:rFonts w:ascii="汉仪中宋简" w:hAnsi="汉仪中宋简" w:eastAsia="汉仪中宋简" w:cs="Times New Roman"/>
      <w:sz w:val="18"/>
      <w:szCs w:val="18"/>
      <w:lang w:val="en-US" w:eastAsia="zh-CN"/>
    </w:rPr>
  </w:style>
  <w:style w:type="character" w:customStyle="1" w:styleId="131">
    <w:name w:val="关键词"/>
    <w:basedOn w:val="90"/>
    <w:qFormat/>
    <w:uiPriority w:val="0"/>
    <w:rPr>
      <w:rFonts w:hint="eastAsia" w:ascii="Arial" w:hAnsi="Arial"/>
      <w:b/>
      <w:lang w:val="en-US" w:eastAsia="zh-CN"/>
    </w:rPr>
  </w:style>
  <w:style w:type="character" w:customStyle="1" w:styleId="132">
    <w:name w:val="着重标题"/>
    <w:basedOn w:val="90"/>
    <w:qFormat/>
    <w:uiPriority w:val="0"/>
    <w:rPr>
      <w:rFonts w:ascii="汉仪中宋简" w:hAnsi="汉仪中宋简" w:eastAsia="汉仪中宋简" w:cs="Times New Roman"/>
      <w:lang w:val="en-US" w:eastAsia="zh-CN"/>
    </w:rPr>
  </w:style>
  <w:style w:type="character" w:customStyle="1" w:styleId="133">
    <w:name w:val="HTML 地址 字符"/>
    <w:basedOn w:val="90"/>
    <w:link w:val="41"/>
    <w:qFormat/>
    <w:uiPriority w:val="0"/>
    <w:rPr>
      <w:rFonts w:ascii="汉仪中宋简" w:hAnsi="汉仪中宋简" w:eastAsia="汉仪中宋简"/>
      <w:i/>
      <w:iCs/>
      <w:kern w:val="2"/>
      <w:sz w:val="24"/>
      <w:szCs w:val="24"/>
    </w:rPr>
  </w:style>
  <w:style w:type="character" w:customStyle="1" w:styleId="134">
    <w:name w:val="HTML 预设格式 字符"/>
    <w:basedOn w:val="90"/>
    <w:link w:val="80"/>
    <w:qFormat/>
    <w:uiPriority w:val="0"/>
    <w:rPr>
      <w:rFonts w:ascii="Courier New" w:hAnsi="Courier New" w:eastAsia="汉仪中宋简" w:cs="Courier New"/>
      <w:kern w:val="2"/>
    </w:rPr>
  </w:style>
  <w:style w:type="paragraph" w:customStyle="1" w:styleId="135">
    <w:name w:val="TOC Heading"/>
    <w:basedOn w:val="3"/>
    <w:semiHidden/>
    <w:unhideWhenUsed/>
    <w:qFormat/>
    <w:uiPriority w:val="39"/>
    <w:pPr>
      <w:widowControl w:val="0"/>
      <w:numPr>
        <w:ilvl w:val="0"/>
        <w:numId w:val="0"/>
      </w:numPr>
      <w:tabs>
        <w:tab w:val="clear" w:pos="0"/>
      </w:tabs>
      <w:spacing w:before="340" w:beforeLines="30" w:after="330" w:line="578" w:lineRule="auto"/>
      <w:jc w:val="both"/>
      <w:outlineLvl w:val="9"/>
    </w:pPr>
    <w:rPr>
      <w:rFonts w:ascii="汉仪中宋简" w:hAnsi="汉仪中宋简" w:eastAsia="汉仪中宋简"/>
      <w:sz w:val="44"/>
      <w:szCs w:val="44"/>
    </w:rPr>
  </w:style>
  <w:style w:type="character" w:customStyle="1" w:styleId="136">
    <w:name w:val="称呼 字符"/>
    <w:basedOn w:val="90"/>
    <w:link w:val="30"/>
    <w:qFormat/>
    <w:uiPriority w:val="0"/>
    <w:rPr>
      <w:rFonts w:ascii="汉仪中宋简" w:hAnsi="汉仪中宋简" w:eastAsia="汉仪中宋简"/>
      <w:kern w:val="2"/>
      <w:sz w:val="24"/>
      <w:szCs w:val="24"/>
    </w:rPr>
  </w:style>
  <w:style w:type="character" w:customStyle="1" w:styleId="137">
    <w:name w:val="纯文本 字符"/>
    <w:basedOn w:val="90"/>
    <w:link w:val="45"/>
    <w:qFormat/>
    <w:uiPriority w:val="0"/>
    <w:rPr>
      <w:rFonts w:hAnsi="Courier New" w:cs="Courier New" w:asciiTheme="minorEastAsia"/>
      <w:kern w:val="2"/>
      <w:sz w:val="24"/>
      <w:szCs w:val="24"/>
    </w:rPr>
  </w:style>
  <w:style w:type="character" w:customStyle="1" w:styleId="138">
    <w:name w:val="电子邮件签名 字符"/>
    <w:basedOn w:val="90"/>
    <w:link w:val="19"/>
    <w:qFormat/>
    <w:uiPriority w:val="0"/>
    <w:rPr>
      <w:rFonts w:ascii="汉仪中宋简" w:hAnsi="汉仪中宋简" w:eastAsia="汉仪中宋简"/>
      <w:kern w:val="2"/>
      <w:sz w:val="24"/>
      <w:szCs w:val="24"/>
    </w:rPr>
  </w:style>
  <w:style w:type="character" w:customStyle="1" w:styleId="139">
    <w:name w:val="宏文本 字符"/>
    <w:basedOn w:val="90"/>
    <w:link w:val="2"/>
    <w:qFormat/>
    <w:uiPriority w:val="0"/>
    <w:rPr>
      <w:rFonts w:ascii="Courier New" w:hAnsi="Courier New" w:eastAsia="宋体" w:cs="Courier New"/>
      <w:kern w:val="2"/>
      <w:sz w:val="24"/>
      <w:szCs w:val="24"/>
    </w:rPr>
  </w:style>
  <w:style w:type="character" w:customStyle="1" w:styleId="140">
    <w:name w:val="结束语 字符"/>
    <w:basedOn w:val="90"/>
    <w:link w:val="32"/>
    <w:qFormat/>
    <w:uiPriority w:val="0"/>
    <w:rPr>
      <w:rFonts w:ascii="汉仪中宋简" w:hAnsi="汉仪中宋简" w:eastAsia="汉仪中宋简"/>
      <w:kern w:val="2"/>
      <w:sz w:val="24"/>
      <w:szCs w:val="24"/>
    </w:rPr>
  </w:style>
  <w:style w:type="paragraph" w:styleId="141">
    <w:name w:val="Intense Quote"/>
    <w:basedOn w:val="1"/>
    <w:link w:val="142"/>
    <w:qFormat/>
    <w:uiPriority w:val="99"/>
    <w:pPr>
      <w:pBdr>
        <w:top w:val="single" w:color="4874CB" w:themeColor="accent1" w:sz="4" w:space="10"/>
        <w:bottom w:val="single" w:color="4874CB" w:themeColor="accent1" w:sz="4" w:space="10"/>
      </w:pBdr>
      <w:spacing w:before="360" w:after="360"/>
      <w:ind w:left="864" w:right="864"/>
      <w:jc w:val="center"/>
    </w:pPr>
    <w:rPr>
      <w:rFonts w:ascii="汉仪中宋简" w:hAnsi="汉仪中宋简" w:eastAsia="汉仪中宋简"/>
      <w:i/>
      <w:iCs/>
      <w:color w:val="4874CB" w:themeColor="accent1"/>
      <w:kern w:val="2"/>
      <w:sz w:val="24"/>
      <w:szCs w:val="24"/>
      <w14:textFill>
        <w14:solidFill>
          <w14:schemeClr w14:val="accent1"/>
        </w14:solidFill>
      </w14:textFill>
    </w:rPr>
  </w:style>
  <w:style w:type="character" w:customStyle="1" w:styleId="142">
    <w:name w:val="明显引用 字符"/>
    <w:basedOn w:val="90"/>
    <w:link w:val="141"/>
    <w:qFormat/>
    <w:uiPriority w:val="99"/>
    <w:rPr>
      <w:rFonts w:ascii="汉仪中宋简" w:hAnsi="汉仪中宋简" w:eastAsia="汉仪中宋简"/>
      <w:i/>
      <w:iCs/>
      <w:color w:val="4874CB" w:themeColor="accent1"/>
      <w:kern w:val="2"/>
      <w:sz w:val="24"/>
      <w:szCs w:val="24"/>
      <w14:textFill>
        <w14:solidFill>
          <w14:schemeClr w14:val="accent1"/>
        </w14:solidFill>
      </w14:textFill>
    </w:rPr>
  </w:style>
  <w:style w:type="character" w:customStyle="1" w:styleId="143">
    <w:name w:val="签名 字符"/>
    <w:basedOn w:val="90"/>
    <w:link w:val="58"/>
    <w:qFormat/>
    <w:uiPriority w:val="0"/>
    <w:rPr>
      <w:rFonts w:ascii="汉仪中宋简" w:hAnsi="汉仪中宋简" w:eastAsia="汉仪中宋简"/>
      <w:kern w:val="2"/>
      <w:sz w:val="24"/>
      <w:szCs w:val="24"/>
    </w:rPr>
  </w:style>
  <w:style w:type="character" w:customStyle="1" w:styleId="144">
    <w:name w:val="日期 字符"/>
    <w:basedOn w:val="90"/>
    <w:link w:val="50"/>
    <w:qFormat/>
    <w:uiPriority w:val="0"/>
    <w:rPr>
      <w:rFonts w:ascii="汉仪中宋简" w:hAnsi="汉仪中宋简" w:eastAsia="汉仪中宋简"/>
      <w:kern w:val="2"/>
      <w:sz w:val="24"/>
      <w:szCs w:val="24"/>
    </w:rPr>
  </w:style>
  <w:style w:type="paragraph" w:customStyle="1" w:styleId="145">
    <w:name w:val="Bibliography"/>
    <w:basedOn w:val="1"/>
    <w:semiHidden/>
    <w:unhideWhenUsed/>
    <w:qFormat/>
    <w:uiPriority w:val="37"/>
  </w:style>
  <w:style w:type="character" w:customStyle="1" w:styleId="146">
    <w:name w:val="文档结构图 字符"/>
    <w:basedOn w:val="90"/>
    <w:link w:val="26"/>
    <w:qFormat/>
    <w:uiPriority w:val="0"/>
    <w:rPr>
      <w:rFonts w:ascii="Microsoft YaHei UI" w:hAnsi="汉仪中宋简" w:eastAsia="Microsoft YaHei UI"/>
      <w:kern w:val="2"/>
      <w:sz w:val="18"/>
      <w:szCs w:val="18"/>
    </w:rPr>
  </w:style>
  <w:style w:type="character" w:customStyle="1" w:styleId="147">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48">
    <w:name w:val="Quote"/>
    <w:basedOn w:val="1"/>
    <w:link w:val="149"/>
    <w:qFormat/>
    <w:uiPriority w:val="99"/>
    <w:pPr>
      <w:spacing w:before="200" w:after="160"/>
      <w:ind w:left="864" w:right="864"/>
      <w:jc w:val="center"/>
    </w:pPr>
    <w:rPr>
      <w:rFonts w:ascii="汉仪中宋简" w:hAnsi="汉仪中宋简" w:eastAsia="汉仪中宋简"/>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49">
    <w:name w:val="引用 字符"/>
    <w:basedOn w:val="90"/>
    <w:link w:val="148"/>
    <w:qFormat/>
    <w:uiPriority w:val="99"/>
    <w:rPr>
      <w:rFonts w:ascii="汉仪中宋简" w:hAnsi="汉仪中宋简" w:eastAsia="汉仪中宋简"/>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50">
    <w:name w:val="正文文本 2 字符"/>
    <w:basedOn w:val="90"/>
    <w:link w:val="76"/>
    <w:qFormat/>
    <w:uiPriority w:val="0"/>
    <w:rPr>
      <w:rFonts w:ascii="汉仪中宋简" w:hAnsi="汉仪中宋简" w:eastAsia="汉仪中宋简"/>
      <w:kern w:val="2"/>
      <w:sz w:val="24"/>
      <w:szCs w:val="24"/>
    </w:rPr>
  </w:style>
  <w:style w:type="character" w:customStyle="1" w:styleId="151">
    <w:name w:val="正文文本 3 字符"/>
    <w:basedOn w:val="90"/>
    <w:link w:val="31"/>
    <w:qFormat/>
    <w:uiPriority w:val="0"/>
    <w:rPr>
      <w:rFonts w:ascii="汉仪中宋简" w:hAnsi="汉仪中宋简" w:eastAsia="汉仪中宋简"/>
      <w:kern w:val="2"/>
      <w:sz w:val="16"/>
      <w:szCs w:val="16"/>
    </w:rPr>
  </w:style>
  <w:style w:type="character" w:customStyle="1" w:styleId="152">
    <w:name w:val="正文文本 字符"/>
    <w:link w:val="34"/>
    <w:qFormat/>
    <w:uiPriority w:val="0"/>
    <w:rPr>
      <w:rFonts w:ascii="Times New Roman" w:hAnsi="Times New Roman"/>
    </w:rPr>
  </w:style>
  <w:style w:type="character" w:customStyle="1" w:styleId="153">
    <w:name w:val="正文文本首行缩进 字符"/>
    <w:basedOn w:val="152"/>
    <w:link w:val="86"/>
    <w:qFormat/>
    <w:uiPriority w:val="0"/>
    <w:rPr>
      <w:rFonts w:ascii="汉仪中宋简" w:hAnsi="汉仪中宋简" w:eastAsia="汉仪中宋简"/>
      <w:kern w:val="2"/>
      <w:sz w:val="24"/>
      <w:szCs w:val="24"/>
    </w:rPr>
  </w:style>
  <w:style w:type="character" w:customStyle="1" w:styleId="154">
    <w:name w:val="正文文本缩进 字符"/>
    <w:basedOn w:val="90"/>
    <w:link w:val="35"/>
    <w:qFormat/>
    <w:uiPriority w:val="0"/>
    <w:rPr>
      <w:rFonts w:ascii="汉仪中宋简" w:hAnsi="汉仪中宋简" w:eastAsia="汉仪中宋简"/>
      <w:kern w:val="2"/>
      <w:sz w:val="24"/>
      <w:szCs w:val="24"/>
    </w:rPr>
  </w:style>
  <w:style w:type="character" w:customStyle="1" w:styleId="155">
    <w:name w:val="正文文本首行缩进 2 字符"/>
    <w:basedOn w:val="154"/>
    <w:link w:val="87"/>
    <w:qFormat/>
    <w:uiPriority w:val="0"/>
    <w:rPr>
      <w:rFonts w:ascii="汉仪中宋简" w:hAnsi="汉仪中宋简" w:eastAsia="汉仪中宋简"/>
      <w:kern w:val="2"/>
      <w:sz w:val="24"/>
      <w:szCs w:val="24"/>
    </w:rPr>
  </w:style>
  <w:style w:type="character" w:customStyle="1" w:styleId="156">
    <w:name w:val="正文文本缩进 2 字符"/>
    <w:basedOn w:val="90"/>
    <w:link w:val="51"/>
    <w:qFormat/>
    <w:uiPriority w:val="0"/>
    <w:rPr>
      <w:rFonts w:ascii="汉仪中宋简" w:hAnsi="汉仪中宋简" w:eastAsia="汉仪中宋简"/>
      <w:kern w:val="2"/>
      <w:sz w:val="24"/>
      <w:szCs w:val="24"/>
    </w:rPr>
  </w:style>
  <w:style w:type="character" w:customStyle="1" w:styleId="157">
    <w:name w:val="正文文本缩进 3 字符"/>
    <w:basedOn w:val="90"/>
    <w:link w:val="70"/>
    <w:qFormat/>
    <w:uiPriority w:val="0"/>
    <w:rPr>
      <w:rFonts w:ascii="汉仪中宋简" w:hAnsi="汉仪中宋简" w:eastAsia="汉仪中宋简"/>
      <w:kern w:val="2"/>
      <w:sz w:val="16"/>
      <w:szCs w:val="16"/>
    </w:rPr>
  </w:style>
  <w:style w:type="character" w:customStyle="1" w:styleId="158">
    <w:name w:val="注释标题 字符"/>
    <w:basedOn w:val="90"/>
    <w:link w:val="16"/>
    <w:qFormat/>
    <w:uiPriority w:val="0"/>
    <w:rPr>
      <w:rFonts w:ascii="汉仪中宋简" w:hAnsi="汉仪中宋简" w:eastAsia="汉仪中宋简"/>
      <w:kern w:val="2"/>
      <w:sz w:val="24"/>
      <w:szCs w:val="24"/>
    </w:rPr>
  </w:style>
  <w:style w:type="character" w:customStyle="1" w:styleId="159">
    <w:name w:val="目录标题 Char"/>
    <w:link w:val="119"/>
    <w:qFormat/>
    <w:uiPriority w:val="0"/>
    <w:rPr>
      <w:rFonts w:ascii="汉仪小隶书简" w:hAnsi="汉仪小隶书简" w:eastAsia="汉仪小隶书简"/>
      <w:sz w:val="36"/>
      <w:szCs w:val="21"/>
    </w:rPr>
  </w:style>
  <w:style w:type="character" w:customStyle="1" w:styleId="160">
    <w:name w:val="标题 4 Char"/>
    <w:link w:val="6"/>
    <w:qFormat/>
    <w:uiPriority w:val="9"/>
    <w:rPr>
      <w:rFonts w:ascii="汉仪劲楷简" w:hAnsi="汉仪劲楷简" w:eastAsia="汉仪劲楷简" w:cstheme="minorBidi"/>
      <w:b/>
      <w:bCs/>
      <w:sz w:val="28"/>
      <w:szCs w:val="28"/>
      <w:lang w:val="en-US" w:eastAsia="zh-CN" w:bidi="ar-SA"/>
    </w:rPr>
  </w:style>
  <w:style w:type="character" w:customStyle="1" w:styleId="161">
    <w:name w:val="副标题 字符"/>
    <w:link w:val="64"/>
    <w:qFormat/>
    <w:uiPriority w:val="0"/>
    <w:rPr>
      <w:rFonts w:ascii="Arial" w:hAnsi="Arial"/>
      <w:b/>
      <w:kern w:val="28"/>
      <w:sz w:val="32"/>
    </w:rPr>
  </w:style>
  <w:style w:type="character" w:customStyle="1" w:styleId="162">
    <w:name w:val="标题 4 字符"/>
    <w:link w:val="6"/>
    <w:qFormat/>
    <w:uiPriority w:val="9"/>
    <w:rPr>
      <w:rFonts w:ascii="Arial" w:hAnsi="Arial" w:eastAsia="黑体" w:cstheme="minorBidi"/>
      <w:b/>
      <w:sz w:val="28"/>
      <w:lang w:val="en-US" w:eastAsia="zh-CN" w:bidi="ar-SA"/>
    </w:rPr>
  </w:style>
  <w:style w:type="character" w:customStyle="1" w:styleId="163">
    <w:name w:val="@他1"/>
    <w:basedOn w:val="90"/>
    <w:semiHidden/>
    <w:unhideWhenUsed/>
    <w:qFormat/>
    <w:uiPriority w:val="99"/>
    <w:rPr>
      <w:rFonts w:ascii="宋体" w:hAnsi="宋体" w:eastAsia="宋体"/>
      <w:color w:val="2B579A"/>
      <w:shd w:val="clear" w:color="auto" w:fill="E1DFDD"/>
    </w:rPr>
  </w:style>
  <w:style w:type="character" w:customStyle="1" w:styleId="164">
    <w:name w:val="不明显参考1"/>
    <w:basedOn w:val="90"/>
    <w:qFormat/>
    <w:uiPriority w:val="31"/>
    <w:rPr>
      <w:rFonts w:ascii="宋体" w:hAnsi="宋体" w:eastAsia="宋体"/>
      <w:color w:val="595959" w:themeColor="text1" w:themeTint="A6"/>
      <w14:textFill>
        <w14:solidFill>
          <w14:schemeClr w14:val="tx1">
            <w14:lumMod w14:val="65000"/>
            <w14:lumOff w14:val="35000"/>
          </w14:schemeClr>
        </w14:solidFill>
      </w14:textFill>
    </w:rPr>
  </w:style>
  <w:style w:type="character" w:customStyle="1" w:styleId="165">
    <w:name w:val="不明显强调1"/>
    <w:basedOn w:val="90"/>
    <w:qFormat/>
    <w:uiPriority w:val="19"/>
    <w:rPr>
      <w:rFonts w:ascii="宋体" w:hAnsi="宋体" w:eastAsia="宋体"/>
      <w:i/>
      <w:iCs/>
      <w:color w:val="404040" w:themeColor="text1" w:themeTint="BF"/>
      <w14:textFill>
        <w14:solidFill>
          <w14:schemeClr w14:val="tx1">
            <w14:lumMod w14:val="75000"/>
            <w14:lumOff w14:val="25000"/>
          </w14:schemeClr>
        </w14:solidFill>
      </w14:textFill>
    </w:rPr>
  </w:style>
  <w:style w:type="character" w:customStyle="1" w:styleId="166">
    <w:name w:val="井号标签1"/>
    <w:basedOn w:val="90"/>
    <w:semiHidden/>
    <w:unhideWhenUsed/>
    <w:qFormat/>
    <w:uiPriority w:val="99"/>
    <w:rPr>
      <w:rFonts w:ascii="宋体" w:hAnsi="宋体" w:eastAsia="宋体"/>
      <w:color w:val="2B579A"/>
      <w:shd w:val="clear" w:color="auto" w:fill="E1DFDD"/>
    </w:rPr>
  </w:style>
  <w:style w:type="character" w:customStyle="1" w:styleId="167">
    <w:name w:val="明显参考1"/>
    <w:basedOn w:val="90"/>
    <w:qFormat/>
    <w:uiPriority w:val="32"/>
    <w:rPr>
      <w:rFonts w:ascii="宋体" w:hAnsi="宋体" w:eastAsia="宋体"/>
      <w:b/>
      <w:bCs/>
      <w:color w:val="4874CB" w:themeColor="accent1"/>
      <w:spacing w:val="5"/>
      <w14:textFill>
        <w14:solidFill>
          <w14:schemeClr w14:val="accent1"/>
        </w14:solidFill>
      </w14:textFill>
    </w:rPr>
  </w:style>
  <w:style w:type="character" w:customStyle="1" w:styleId="168">
    <w:name w:val="明显强调1"/>
    <w:basedOn w:val="90"/>
    <w:qFormat/>
    <w:uiPriority w:val="21"/>
    <w:rPr>
      <w:rFonts w:ascii="宋体" w:hAnsi="宋体" w:eastAsia="宋体"/>
      <w:i/>
      <w:iCs/>
      <w:color w:val="4874CB" w:themeColor="accent1"/>
      <w14:textFill>
        <w14:solidFill>
          <w14:schemeClr w14:val="accent1"/>
        </w14:solidFill>
      </w14:textFill>
    </w:rPr>
  </w:style>
  <w:style w:type="character" w:customStyle="1" w:styleId="169">
    <w:name w:val="书籍标题1"/>
    <w:basedOn w:val="90"/>
    <w:qFormat/>
    <w:uiPriority w:val="33"/>
    <w:rPr>
      <w:rFonts w:ascii="宋体" w:hAnsi="宋体" w:eastAsia="宋体"/>
      <w:b/>
      <w:bCs/>
      <w:i/>
      <w:iCs/>
      <w:spacing w:val="5"/>
    </w:rPr>
  </w:style>
  <w:style w:type="character" w:customStyle="1" w:styleId="170">
    <w:name w:val="未处理的提及1"/>
    <w:basedOn w:val="90"/>
    <w:semiHidden/>
    <w:unhideWhenUsed/>
    <w:qFormat/>
    <w:uiPriority w:val="99"/>
    <w:rPr>
      <w:rFonts w:ascii="宋体" w:hAnsi="宋体" w:eastAsia="宋体"/>
      <w:color w:val="605E5C"/>
      <w:shd w:val="clear" w:color="auto" w:fill="E1DFDD"/>
    </w:rPr>
  </w:style>
  <w:style w:type="character" w:styleId="171">
    <w:name w:val="Placeholder Text"/>
    <w:basedOn w:val="90"/>
    <w:semiHidden/>
    <w:qFormat/>
    <w:uiPriority w:val="99"/>
    <w:rPr>
      <w:rFonts w:ascii="宋体" w:hAnsi="宋体" w:eastAsia="宋体"/>
      <w:color w:val="808080"/>
    </w:rPr>
  </w:style>
  <w:style w:type="character" w:customStyle="1" w:styleId="172">
    <w:name w:val="智能超链接1"/>
    <w:basedOn w:val="90"/>
    <w:semiHidden/>
    <w:unhideWhenUsed/>
    <w:qFormat/>
    <w:uiPriority w:val="99"/>
    <w:rPr>
      <w:rFonts w:ascii="宋体" w:hAnsi="宋体" w:eastAsia="宋体"/>
      <w:u w:val="dotted"/>
    </w:rPr>
  </w:style>
  <w:style w:type="paragraph" w:customStyle="1" w:styleId="173">
    <w:name w:val="TOC 标题1"/>
    <w:basedOn w:val="3"/>
    <w:semiHidden/>
    <w:unhideWhenUsed/>
    <w:qFormat/>
    <w:uiPriority w:val="39"/>
    <w:pPr>
      <w:widowControl w:val="0"/>
      <w:numPr>
        <w:ilvl w:val="0"/>
        <w:numId w:val="0"/>
      </w:numPr>
      <w:tabs>
        <w:tab w:val="clear" w:pos="0"/>
      </w:tabs>
      <w:spacing w:before="340" w:after="330" w:afterLines="50" w:line="578" w:lineRule="auto"/>
      <w:ind w:firstLine="440" w:firstLineChars="200"/>
      <w:jc w:val="both"/>
      <w:outlineLvl w:val="9"/>
    </w:pPr>
    <w:rPr>
      <w:sz w:val="44"/>
      <w:szCs w:val="44"/>
    </w:rPr>
  </w:style>
  <w:style w:type="paragraph" w:customStyle="1" w:styleId="174">
    <w:name w:val="书目1"/>
    <w:basedOn w:val="1"/>
    <w:semiHidden/>
    <w:unhideWhenUsed/>
    <w:qFormat/>
    <w:uiPriority w:val="37"/>
  </w:style>
  <w:style w:type="character" w:customStyle="1" w:styleId="175">
    <w:name w:val="列表项目符号 5 字符"/>
    <w:link w:val="46"/>
    <w:qFormat/>
    <w:uiPriority w:val="0"/>
  </w:style>
  <w:style w:type="paragraph" w:customStyle="1" w:styleId="176">
    <w:name w:val="样式1"/>
    <w:basedOn w:val="1"/>
    <w:qFormat/>
    <w:uiPriority w:val="0"/>
    <w:pPr>
      <w:widowControl/>
      <w:numPr>
        <w:ilvl w:val="0"/>
        <w:numId w:val="8"/>
      </w:numPr>
      <w:spacing w:before="100" w:after="100" w:afterLines="0" w:line="300" w:lineRule="auto"/>
      <w:ind w:firstLine="480"/>
    </w:pPr>
    <w:rPr>
      <w:rFonts w:ascii="Times New Roman" w:hAnsi="Times New Roman" w:eastAsia="仿宋"/>
      <w:color w:val="auto"/>
      <w:sz w:val="28"/>
    </w:rPr>
  </w:style>
  <w:style w:type="paragraph" w:customStyle="1" w:styleId="177">
    <w:name w:val="null3"/>
    <w:qFormat/>
    <w:uiPriority w:val="0"/>
    <w:rPr>
      <w:rFonts w:hint="eastAsia" w:asciiTheme="minorHAnsi" w:hAnsiTheme="minorHAnsi" w:eastAsiaTheme="minorEastAsia" w:cstheme="minorBidi"/>
      <w:lang w:val="en-US" w:eastAsia="zh-Hans"/>
    </w:rPr>
  </w:style>
  <w:style w:type="paragraph" w:customStyle="1" w:styleId="1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9">
    <w:name w:val="BodyText"/>
    <w:basedOn w:val="1"/>
    <w:qFormat/>
    <w:uiPriority w:val="0"/>
    <w:pPr>
      <w:spacing w:after="120"/>
      <w:textAlignment w:val="auto"/>
    </w:pPr>
  </w:style>
  <w:style w:type="paragraph" w:customStyle="1" w:styleId="180">
    <w:name w:val="招标三级"/>
    <w:basedOn w:val="181"/>
    <w:next w:val="183"/>
    <w:qFormat/>
    <w:uiPriority w:val="0"/>
    <w:pPr>
      <w:numPr>
        <w:ilvl w:val="2"/>
        <w:numId w:val="9"/>
      </w:numPr>
      <w:tabs>
        <w:tab w:val="left" w:pos="-400"/>
        <w:tab w:val="left" w:pos="0"/>
      </w:tabs>
    </w:pPr>
    <w:rPr>
      <w:b w:val="0"/>
    </w:rPr>
  </w:style>
  <w:style w:type="paragraph" w:customStyle="1" w:styleId="181">
    <w:name w:val="招标二级"/>
    <w:basedOn w:val="182"/>
    <w:next w:val="183"/>
    <w:qFormat/>
    <w:uiPriority w:val="0"/>
    <w:pPr>
      <w:pageBreakBefore w:val="0"/>
      <w:numPr>
        <w:ilvl w:val="1"/>
        <w:numId w:val="10"/>
      </w:numPr>
      <w:tabs>
        <w:tab w:val="left" w:pos="-400"/>
        <w:tab w:val="left" w:pos="0"/>
      </w:tabs>
      <w:spacing w:line="240" w:lineRule="auto"/>
    </w:pPr>
  </w:style>
  <w:style w:type="paragraph" w:customStyle="1" w:styleId="182">
    <w:name w:val="招标一级"/>
    <w:next w:val="1"/>
    <w:qFormat/>
    <w:uiPriority w:val="0"/>
    <w:pPr>
      <w:pageBreakBefore/>
      <w:numPr>
        <w:ilvl w:val="0"/>
        <w:numId w:val="11"/>
      </w:numPr>
      <w:spacing w:line="360" w:lineRule="auto"/>
    </w:pPr>
    <w:rPr>
      <w:rFonts w:ascii="Arial" w:hAnsi="Arial" w:eastAsia="宋体" w:cs="Times New Roman"/>
      <w:b/>
      <w:sz w:val="24"/>
      <w:lang w:val="en-US" w:eastAsia="zh-CN" w:bidi="ar-SA"/>
    </w:rPr>
  </w:style>
  <w:style w:type="paragraph" w:customStyle="1" w:styleId="183">
    <w:name w:val="招标正文"/>
    <w:qFormat/>
    <w:uiPriority w:val="0"/>
    <w:rPr>
      <w:rFonts w:ascii="Times New Roman" w:hAnsi="Times New Roman" w:eastAsia="宋体" w:cs="Times New Roman"/>
      <w:sz w:val="24"/>
      <w:lang w:val="en-US" w:eastAsia="zh-CN" w:bidi="ar-SA"/>
    </w:rPr>
  </w:style>
  <w:style w:type="paragraph" w:customStyle="1" w:styleId="184">
    <w:name w:val="Normal_33"/>
    <w:qFormat/>
    <w:uiPriority w:val="0"/>
    <w:rPr>
      <w:rFonts w:ascii="Times New Roman" w:hAnsi="Times New Roman" w:eastAsia="Times New Roman" w:cs="Times New Roman"/>
      <w:sz w:val="24"/>
      <w:szCs w:val="24"/>
      <w:lang w:val="en-US" w:eastAsia="zh-CN" w:bidi="ar-SA"/>
    </w:rPr>
  </w:style>
  <w:style w:type="paragraph" w:customStyle="1" w:styleId="185">
    <w:name w:val="Table Text"/>
    <w:basedOn w:val="1"/>
    <w:semiHidden/>
    <w:qFormat/>
    <w:uiPriority w:val="0"/>
    <w:rPr>
      <w:rFonts w:ascii="宋体" w:hAnsi="宋体" w:eastAsia="宋体" w:cs="宋体"/>
      <w:sz w:val="21"/>
      <w:szCs w:val="21"/>
      <w:lang w:val="en-US" w:eastAsia="en-US" w:bidi="ar-SA"/>
    </w:rPr>
  </w:style>
  <w:style w:type="table" w:customStyle="1" w:styleId="186">
    <w:name w:val="Table Normal"/>
    <w:semiHidden/>
    <w:unhideWhenUsed/>
    <w:qFormat/>
    <w:uiPriority w:val="0"/>
    <w:tblPr>
      <w:tblCellMar>
        <w:top w:w="0" w:type="dxa"/>
        <w:left w:w="0" w:type="dxa"/>
        <w:bottom w:w="0" w:type="dxa"/>
        <w:right w:w="0" w:type="dxa"/>
      </w:tblCellMar>
    </w:tblPr>
  </w:style>
  <w:style w:type="paragraph" w:customStyle="1" w:styleId="187">
    <w:name w:val="规章正文"/>
    <w:basedOn w:val="1"/>
    <w:qFormat/>
    <w:uiPriority w:val="0"/>
    <w:pPr>
      <w:wordWrap w:val="0"/>
      <w:spacing w:line="580" w:lineRule="exact"/>
      <w:ind w:firstLine="20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24</Pages>
  <Words>5168</Words>
  <Characters>5677</Characters>
  <Lines>1</Lines>
  <Paragraphs>1</Paragraphs>
  <TotalTime>17</TotalTime>
  <ScaleCrop>false</ScaleCrop>
  <LinksUpToDate>false</LinksUpToDate>
  <CharactersWithSpaces>5974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2025-02-07T10:29:00Z</dcterms:created>
  <dc:creator>Administrator</dc:creator>
  <cp:lastModifiedBy>......</cp:lastModifiedBy>
  <cp:lastPrinted>2025-07-08T09:12:00Z</cp:lastPrinted>
  <dcterms:modified xsi:type="dcterms:W3CDTF">2025-08-06T04:00:01Z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eyJoZGlkIjoiOGM5ZDE2ZWQxMTNiMTU3MjcxZDZhZDUyMjcwYjZmMTkiLCJ1c2VySWQiOiI5NjM2Nzg1MDcifQ==</vt:lpwstr>
  </property>
  <property fmtid="{D5CDD505-2E9C-101B-9397-08002B2CF9AE}" pid="3" name="KSOProductBuildVer">
    <vt:lpwstr>2052-12.1.0.22215</vt:lpwstr>
  </property>
  <property fmtid="{D5CDD505-2E9C-101B-9397-08002B2CF9AE}" pid="4" name="ICV">
    <vt:lpwstr>8C798791CCF64483831C2D3E1494894F_13</vt:lpwstr>
  </property>
</Properties>
</file>