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FC0CD">
      <w:pPr>
        <w:pStyle w:val="9"/>
        <w:widowControl/>
        <w:kinsoku/>
        <w:topLinePunct w:val="0"/>
        <w:autoSpaceDE w:val="0"/>
        <w:autoSpaceDN w:val="0"/>
        <w:bidi w:val="0"/>
        <w:adjustRightInd w:val="0"/>
        <w:snapToGrid w:val="0"/>
        <w:spacing w:before="35" w:line="240" w:lineRule="auto"/>
        <w:jc w:val="center"/>
        <w:rPr>
          <w:rFonts w:hint="default" w:ascii="仿宋" w:hAnsi="仿宋" w:eastAsia="仿宋" w:cs="仿宋"/>
          <w:b/>
          <w:bCs/>
          <w:color w:val="auto"/>
          <w:spacing w:val="-3"/>
          <w:sz w:val="22"/>
          <w:szCs w:val="22"/>
          <w:highlight w:val="none"/>
          <w:lang w:val="en-US" w:eastAsia="zh-CN"/>
        </w:rPr>
      </w:pPr>
      <w:bookmarkStart w:id="15" w:name="_GoBack"/>
      <w:r>
        <w:rPr>
          <w:rFonts w:hint="eastAsia" w:cs="仿宋"/>
          <w:b/>
          <w:bCs/>
          <w:color w:val="auto"/>
          <w:spacing w:val="-3"/>
          <w:sz w:val="22"/>
          <w:szCs w:val="22"/>
          <w:highlight w:val="none"/>
          <w:lang w:val="en-US" w:eastAsia="zh-CN"/>
        </w:rPr>
        <w:t>需求公示</w:t>
      </w:r>
    </w:p>
    <w:p w14:paraId="1FFA8313">
      <w:pPr>
        <w:pStyle w:val="9"/>
        <w:widowControl/>
        <w:kinsoku/>
        <w:topLinePunct w:val="0"/>
        <w:autoSpaceDE w:val="0"/>
        <w:autoSpaceDN w:val="0"/>
        <w:bidi w:val="0"/>
        <w:adjustRightInd w:val="0"/>
        <w:snapToGrid w:val="0"/>
        <w:spacing w:before="35" w:line="240" w:lineRule="auto"/>
        <w:rPr>
          <w:rFonts w:hint="eastAsia" w:ascii="仿宋" w:hAnsi="仿宋" w:eastAsia="仿宋" w:cs="仿宋"/>
          <w:b/>
          <w:bCs/>
          <w:color w:val="auto"/>
          <w:spacing w:val="-3"/>
          <w:sz w:val="22"/>
          <w:szCs w:val="22"/>
          <w:highlight w:val="none"/>
          <w:lang w:eastAsia="zh-CN"/>
        </w:rPr>
      </w:pPr>
    </w:p>
    <w:p w14:paraId="78D744AB">
      <w:pPr>
        <w:pStyle w:val="9"/>
        <w:widowControl/>
        <w:kinsoku/>
        <w:topLinePunct w:val="0"/>
        <w:autoSpaceDE w:val="0"/>
        <w:autoSpaceDN w:val="0"/>
        <w:bidi w:val="0"/>
        <w:adjustRightInd w:val="0"/>
        <w:snapToGrid w:val="0"/>
        <w:spacing w:before="35" w:line="24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pacing w:val="-3"/>
          <w:sz w:val="22"/>
          <w:szCs w:val="22"/>
          <w:highlight w:val="none"/>
          <w:lang w:eastAsia="zh-CN"/>
        </w:rPr>
        <w:t>一、项目基本情况</w:t>
      </w:r>
    </w:p>
    <w:p w14:paraId="74D1B651">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1"/>
          <w:sz w:val="22"/>
          <w:szCs w:val="22"/>
          <w:highlight w:val="none"/>
          <w:u w:val="single"/>
          <w:lang w:val="en-US" w:eastAsia="zh-CN"/>
        </w:rPr>
      </w:pPr>
      <w:r>
        <w:rPr>
          <w:rFonts w:hint="eastAsia" w:ascii="仿宋" w:hAnsi="仿宋" w:eastAsia="仿宋" w:cs="仿宋"/>
          <w:color w:val="auto"/>
          <w:spacing w:val="-1"/>
          <w:sz w:val="22"/>
          <w:szCs w:val="22"/>
          <w:highlight w:val="none"/>
          <w:lang w:eastAsia="zh-CN"/>
        </w:rPr>
        <w:t>项目编号：</w:t>
      </w:r>
      <w:r>
        <w:rPr>
          <w:rFonts w:hint="eastAsia" w:cs="仿宋"/>
          <w:color w:val="auto"/>
          <w:spacing w:val="-1"/>
          <w:sz w:val="22"/>
          <w:szCs w:val="22"/>
          <w:highlight w:val="none"/>
          <w:u w:val="single"/>
          <w:lang w:val="en-US" w:eastAsia="zh-CN"/>
        </w:rPr>
        <w:t>GZXBR-2025-027</w:t>
      </w:r>
    </w:p>
    <w:p w14:paraId="1ABA8C6B">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4"/>
          <w:sz w:val="22"/>
          <w:szCs w:val="22"/>
          <w:highlight w:val="none"/>
          <w:u w:val="single"/>
          <w:lang w:val="en-US" w:eastAsia="zh-CN"/>
        </w:rPr>
      </w:pPr>
      <w:r>
        <w:rPr>
          <w:rFonts w:hint="eastAsia" w:ascii="仿宋" w:hAnsi="仿宋" w:eastAsia="仿宋" w:cs="仿宋"/>
          <w:color w:val="auto"/>
          <w:spacing w:val="-4"/>
          <w:sz w:val="22"/>
          <w:szCs w:val="22"/>
          <w:highlight w:val="none"/>
          <w:lang w:eastAsia="zh-CN"/>
        </w:rPr>
        <w:t>项目名称：</w:t>
      </w:r>
      <w:r>
        <w:rPr>
          <w:rFonts w:hint="eastAsia" w:cs="仿宋"/>
          <w:color w:val="auto"/>
          <w:spacing w:val="-4"/>
          <w:sz w:val="22"/>
          <w:szCs w:val="22"/>
          <w:highlight w:val="none"/>
          <w:u w:val="single"/>
          <w:lang w:val="en-US" w:eastAsia="zh-CN"/>
        </w:rPr>
        <w:t>仁怀市茅台镇机关食堂餐饮服务采购项目</w:t>
      </w:r>
    </w:p>
    <w:p w14:paraId="58741DC7">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采购方式：</w:t>
      </w:r>
      <w:r>
        <w:rPr>
          <w:rFonts w:hint="eastAsia" w:ascii="仿宋" w:hAnsi="仿宋" w:eastAsia="仿宋" w:cs="仿宋"/>
          <w:color w:val="auto"/>
          <w:spacing w:val="-2"/>
          <w:sz w:val="22"/>
          <w:szCs w:val="22"/>
          <w:highlight w:val="none"/>
          <w:u w:val="single"/>
          <w:lang w:eastAsia="zh-CN"/>
        </w:rPr>
        <w:t>竞争性磋商</w:t>
      </w:r>
    </w:p>
    <w:p w14:paraId="0DBF818C">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88"/>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4"/>
          <w:sz w:val="22"/>
          <w:szCs w:val="22"/>
          <w:highlight w:val="none"/>
          <w:lang w:eastAsia="zh-CN"/>
        </w:rPr>
        <w:t>预算金额：</w:t>
      </w:r>
      <w:r>
        <w:rPr>
          <w:rFonts w:hint="eastAsia" w:cs="仿宋"/>
          <w:color w:val="auto"/>
          <w:spacing w:val="-4"/>
          <w:sz w:val="22"/>
          <w:szCs w:val="22"/>
          <w:highlight w:val="none"/>
          <w:u w:val="single"/>
          <w:lang w:val="en-US" w:eastAsia="zh-CN"/>
        </w:rPr>
        <w:t>120万元/年</w:t>
      </w:r>
    </w:p>
    <w:p w14:paraId="234C14AA">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93"/>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5"/>
          <w:sz w:val="22"/>
          <w:szCs w:val="22"/>
          <w:highlight w:val="none"/>
          <w:lang w:eastAsia="zh-CN"/>
        </w:rPr>
        <w:t>最高限价：</w:t>
      </w:r>
      <w:r>
        <w:rPr>
          <w:rFonts w:hint="eastAsia" w:cs="仿宋"/>
          <w:color w:val="auto"/>
          <w:spacing w:val="-5"/>
          <w:sz w:val="22"/>
          <w:szCs w:val="22"/>
          <w:highlight w:val="none"/>
          <w:u w:val="single"/>
          <w:lang w:val="en-US" w:eastAsia="zh-CN"/>
        </w:rPr>
        <w:t>120万元/年</w:t>
      </w:r>
    </w:p>
    <w:p w14:paraId="5BF70E59">
      <w:pPr>
        <w:pStyle w:val="9"/>
        <w:keepNext w:val="0"/>
        <w:keepLines w:val="0"/>
        <w:pageBreakBefore w:val="0"/>
        <w:widowControl/>
        <w:kinsoku/>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采购需求：</w:t>
      </w:r>
    </w:p>
    <w:p w14:paraId="0040BEBF">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eastAsia="zh-CN"/>
        </w:rPr>
        <w:t>采购主要内容：</w:t>
      </w:r>
      <w:r>
        <w:rPr>
          <w:rFonts w:hint="eastAsia" w:cs="仿宋"/>
          <w:color w:val="auto"/>
          <w:spacing w:val="-1"/>
          <w:sz w:val="22"/>
          <w:szCs w:val="22"/>
          <w:highlight w:val="none"/>
          <w:u w:val="single"/>
          <w:lang w:val="en-US" w:eastAsia="zh-CN"/>
        </w:rPr>
        <w:t>采购茅台镇机关食堂服务，含全镇干部职工早餐、中餐、晚餐及接待用餐</w:t>
      </w:r>
      <w:r>
        <w:rPr>
          <w:rFonts w:hint="eastAsia" w:ascii="仿宋" w:hAnsi="仿宋" w:eastAsia="仿宋" w:cs="仿宋"/>
          <w:color w:val="auto"/>
          <w:spacing w:val="-1"/>
          <w:sz w:val="22"/>
          <w:szCs w:val="22"/>
          <w:highlight w:val="none"/>
          <w:u w:val="single"/>
          <w:lang w:val="en-US" w:eastAsia="zh-CN"/>
        </w:rPr>
        <w:t>（详见采购清单）。</w:t>
      </w:r>
    </w:p>
    <w:p w14:paraId="42114C7E">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pacing w:val="-1"/>
          <w:sz w:val="22"/>
          <w:szCs w:val="22"/>
          <w:highlight w:val="none"/>
          <w:u w:val="single"/>
          <w:lang w:eastAsia="zh-CN"/>
        </w:rPr>
      </w:pPr>
      <w:r>
        <w:rPr>
          <w:rFonts w:hint="eastAsia" w:ascii="仿宋" w:hAnsi="仿宋" w:eastAsia="仿宋" w:cs="仿宋"/>
          <w:color w:val="auto"/>
          <w:spacing w:val="-1"/>
          <w:sz w:val="22"/>
          <w:szCs w:val="22"/>
          <w:highlight w:val="none"/>
          <w:lang w:val="en-US" w:eastAsia="zh-CN"/>
        </w:rPr>
        <w:t>简要规格描述或项目基本概况介绍、用途</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eastAsia="zh-CN"/>
        </w:rPr>
        <w:t>详见采购文件</w:t>
      </w:r>
      <w:r>
        <w:rPr>
          <w:rFonts w:hint="eastAsia" w:ascii="仿宋" w:hAnsi="仿宋" w:eastAsia="仿宋" w:cs="仿宋"/>
          <w:color w:val="auto"/>
          <w:spacing w:val="-1"/>
          <w:sz w:val="22"/>
          <w:szCs w:val="22"/>
          <w:highlight w:val="none"/>
          <w:u w:val="single"/>
          <w:lang w:val="en-US" w:eastAsia="zh-CN"/>
        </w:rPr>
        <w:t>第三章采购内容。</w:t>
      </w:r>
    </w:p>
    <w:p w14:paraId="23495359">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服务地点：</w:t>
      </w:r>
      <w:r>
        <w:rPr>
          <w:rFonts w:hint="eastAsia" w:ascii="仿宋" w:hAnsi="仿宋" w:eastAsia="仿宋" w:cs="仿宋"/>
          <w:color w:val="auto"/>
          <w:spacing w:val="-2"/>
          <w:sz w:val="22"/>
          <w:szCs w:val="22"/>
          <w:highlight w:val="none"/>
          <w:u w:val="single"/>
          <w:lang w:eastAsia="zh-CN"/>
        </w:rPr>
        <w:t>采购人指定地点。</w:t>
      </w:r>
    </w:p>
    <w:p w14:paraId="78A491BE">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其他事项（如样品提交、现场踏勘等</w:t>
      </w:r>
      <w:r>
        <w:rPr>
          <w:rFonts w:hint="eastAsia" w:ascii="仿宋" w:hAnsi="仿宋" w:eastAsia="仿宋" w:cs="仿宋"/>
          <w:color w:val="auto"/>
          <w:spacing w:val="18"/>
          <w:sz w:val="22"/>
          <w:szCs w:val="22"/>
          <w:highlight w:val="none"/>
          <w:lang w:eastAsia="zh-CN"/>
        </w:rPr>
        <w:t>）：</w:t>
      </w:r>
      <w:r>
        <w:rPr>
          <w:rFonts w:hint="eastAsia" w:ascii="仿宋" w:hAnsi="仿宋" w:eastAsia="仿宋" w:cs="仿宋"/>
          <w:color w:val="auto"/>
          <w:spacing w:val="-2"/>
          <w:sz w:val="22"/>
          <w:szCs w:val="22"/>
          <w:highlight w:val="none"/>
          <w:u w:val="single"/>
          <w:lang w:eastAsia="zh-CN"/>
        </w:rPr>
        <w:t>无。</w:t>
      </w:r>
    </w:p>
    <w:p w14:paraId="16D0C70E">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服务期：</w:t>
      </w:r>
      <w:r>
        <w:rPr>
          <w:rFonts w:hint="eastAsia" w:cs="仿宋"/>
          <w:color w:val="auto"/>
          <w:spacing w:val="-2"/>
          <w:sz w:val="22"/>
          <w:szCs w:val="22"/>
          <w:highlight w:val="none"/>
          <w:lang w:val="en-US" w:eastAsia="zh-CN"/>
        </w:rPr>
        <w:t>服务期2年（服务合同1年1签，1年1考核）。</w:t>
      </w:r>
    </w:p>
    <w:p w14:paraId="4DC465FB">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w:t>
      </w:r>
      <w:r>
        <w:rPr>
          <w:rFonts w:hint="eastAsia" w:ascii="仿宋" w:hAnsi="仿宋" w:eastAsia="仿宋" w:cs="仿宋"/>
          <w:i/>
          <w:iCs/>
          <w:color w:val="auto"/>
          <w:spacing w:val="-2"/>
          <w:sz w:val="24"/>
          <w:szCs w:val="24"/>
          <w:highlight w:val="none"/>
          <w:lang w:eastAsia="zh-CN"/>
        </w:rPr>
        <w:t>是/否</w:t>
      </w:r>
      <w:r>
        <w:rPr>
          <w:rFonts w:hint="eastAsia" w:ascii="仿宋" w:hAnsi="仿宋" w:eastAsia="仿宋" w:cs="仿宋"/>
          <w:color w:val="auto"/>
          <w:spacing w:val="-2"/>
          <w:sz w:val="22"/>
          <w:szCs w:val="22"/>
          <w:highlight w:val="none"/>
          <w:lang w:eastAsia="zh-CN"/>
        </w:rPr>
        <w:t>）接受联合体：</w:t>
      </w:r>
      <w:r>
        <w:rPr>
          <w:rFonts w:hint="eastAsia" w:ascii="仿宋" w:hAnsi="仿宋" w:eastAsia="仿宋" w:cs="仿宋"/>
          <w:color w:val="auto"/>
          <w:spacing w:val="-2"/>
          <w:sz w:val="22"/>
          <w:szCs w:val="22"/>
          <w:highlight w:val="none"/>
          <w:u w:val="single"/>
          <w:lang w:eastAsia="zh-CN"/>
        </w:rPr>
        <w:t>否。</w:t>
      </w:r>
    </w:p>
    <w:p w14:paraId="17E28A25">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rPr>
          <w:rFonts w:hint="eastAsia" w:ascii="仿宋" w:hAnsi="仿宋" w:eastAsia="仿宋" w:cs="仿宋"/>
          <w:b/>
          <w:bCs/>
          <w:color w:val="auto"/>
          <w:spacing w:val="-7"/>
          <w:sz w:val="22"/>
          <w:szCs w:val="22"/>
          <w:highlight w:val="none"/>
        </w:rPr>
      </w:pPr>
      <w:r>
        <w:rPr>
          <w:rFonts w:hint="eastAsia" w:ascii="仿宋" w:hAnsi="仿宋" w:eastAsia="仿宋" w:cs="仿宋"/>
          <w:b/>
          <w:bCs/>
          <w:color w:val="auto"/>
          <w:spacing w:val="-7"/>
          <w:sz w:val="22"/>
          <w:szCs w:val="22"/>
          <w:highlight w:val="none"/>
          <w:lang w:val="en-US" w:eastAsia="zh-CN"/>
        </w:rPr>
        <w:t>二、</w:t>
      </w:r>
      <w:r>
        <w:rPr>
          <w:rFonts w:hint="eastAsia" w:ascii="仿宋" w:hAnsi="仿宋" w:eastAsia="仿宋" w:cs="仿宋"/>
          <w:b/>
          <w:bCs/>
          <w:color w:val="auto"/>
          <w:spacing w:val="-7"/>
          <w:sz w:val="22"/>
          <w:szCs w:val="22"/>
          <w:highlight w:val="none"/>
        </w:rPr>
        <w:t>申请人的资格要求：</w:t>
      </w:r>
    </w:p>
    <w:p w14:paraId="1C40B474">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32" w:firstLineChars="20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snapToGrid w:val="0"/>
          <w:color w:val="auto"/>
          <w:spacing w:val="-2"/>
          <w:sz w:val="22"/>
          <w:szCs w:val="22"/>
          <w:highlight w:val="none"/>
          <w:lang w:val="en-US" w:eastAsia="zh-CN" w:bidi="ar-SA"/>
        </w:rPr>
        <w:t>1.</w:t>
      </w:r>
      <w:r>
        <w:rPr>
          <w:rFonts w:hint="eastAsia" w:ascii="仿宋" w:hAnsi="仿宋" w:eastAsia="仿宋" w:cs="仿宋"/>
          <w:color w:val="auto"/>
          <w:spacing w:val="-1"/>
          <w:sz w:val="22"/>
          <w:szCs w:val="22"/>
          <w:highlight w:val="none"/>
          <w:lang w:eastAsia="zh-CN"/>
        </w:rPr>
        <w:t>满足《中华人民共和国政府采购法》第二十二条规</w:t>
      </w:r>
      <w:r>
        <w:rPr>
          <w:rFonts w:hint="eastAsia" w:ascii="仿宋" w:hAnsi="仿宋" w:eastAsia="仿宋" w:cs="仿宋"/>
          <w:color w:val="auto"/>
          <w:spacing w:val="-2"/>
          <w:sz w:val="22"/>
          <w:szCs w:val="22"/>
          <w:highlight w:val="none"/>
          <w:lang w:eastAsia="zh-CN"/>
        </w:rPr>
        <w:t>定：</w:t>
      </w:r>
    </w:p>
    <w:p w14:paraId="263F5170">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具有独立承担民事责任的能力：</w:t>
      </w:r>
      <w:r>
        <w:rPr>
          <w:rFonts w:hint="eastAsia" w:ascii="仿宋" w:hAnsi="仿宋" w:eastAsia="仿宋" w:cs="仿宋"/>
          <w:color w:val="auto"/>
          <w:spacing w:val="-1"/>
          <w:sz w:val="22"/>
          <w:szCs w:val="22"/>
          <w:highlight w:val="none"/>
          <w:u w:val="single"/>
          <w:lang w:val="en-US" w:eastAsia="zh-CN"/>
        </w:rPr>
        <w:t>供应商须在中华人民共和国境内注册，具有独立法人资格，持有合法有效的三证合一（营业执照、组织机构代码证、税务登记证）的营业执照（复印件加盖鲜章）</w:t>
      </w:r>
      <w:r>
        <w:rPr>
          <w:rFonts w:hint="eastAsia" w:ascii="仿宋" w:hAnsi="仿宋" w:eastAsia="仿宋" w:cs="仿宋"/>
          <w:color w:val="auto"/>
          <w:spacing w:val="-1"/>
          <w:sz w:val="22"/>
          <w:szCs w:val="22"/>
          <w:highlight w:val="none"/>
          <w:lang w:eastAsia="zh-CN"/>
        </w:rPr>
        <w:t>；</w:t>
      </w:r>
    </w:p>
    <w:p w14:paraId="2B0FD237">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具有良好的商业信誉和健全的财务会计制度：</w:t>
      </w:r>
      <w:r>
        <w:rPr>
          <w:rFonts w:hint="eastAsia" w:cs="仿宋"/>
          <w:color w:val="auto"/>
          <w:spacing w:val="-1"/>
          <w:sz w:val="22"/>
          <w:szCs w:val="22"/>
          <w:highlight w:val="none"/>
          <w:u w:val="single"/>
          <w:lang w:val="en-US" w:eastAsia="zh-CN"/>
        </w:rPr>
        <w:t>提供2023年或2024年财务审计报告或基本开户银行出具的资信证明</w:t>
      </w:r>
      <w:r>
        <w:rPr>
          <w:rFonts w:hint="eastAsia" w:ascii="仿宋" w:hAnsi="仿宋" w:eastAsia="仿宋" w:cs="仿宋"/>
          <w:color w:val="auto"/>
          <w:spacing w:val="-1"/>
          <w:sz w:val="22"/>
          <w:szCs w:val="22"/>
          <w:highlight w:val="none"/>
          <w:lang w:val="en-US" w:eastAsia="zh-CN"/>
        </w:rPr>
        <w:t>。</w:t>
      </w:r>
    </w:p>
    <w:p w14:paraId="0385C6E4">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具有履行合同所必需的设备和专业技术能力</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提供具有履行合同所必需的设备和专业技术能力的相关资料（</w:t>
      </w:r>
      <w:r>
        <w:rPr>
          <w:rFonts w:hint="eastAsia" w:cs="仿宋"/>
          <w:color w:val="auto"/>
          <w:spacing w:val="-1"/>
          <w:sz w:val="22"/>
          <w:szCs w:val="22"/>
          <w:highlight w:val="none"/>
          <w:u w:val="single"/>
          <w:lang w:val="en-US" w:eastAsia="zh-CN"/>
        </w:rPr>
        <w:t>提供承诺函，格式自拟</w:t>
      </w:r>
      <w:r>
        <w:rPr>
          <w:rFonts w:hint="eastAsia" w:ascii="仿宋" w:hAnsi="仿宋" w:eastAsia="仿宋" w:cs="仿宋"/>
          <w:color w:val="auto"/>
          <w:spacing w:val="-1"/>
          <w:sz w:val="22"/>
          <w:szCs w:val="22"/>
          <w:highlight w:val="none"/>
          <w:u w:val="single"/>
          <w:lang w:val="en-US" w:eastAsia="zh-CN"/>
        </w:rPr>
        <w:t>）</w:t>
      </w:r>
      <w:r>
        <w:rPr>
          <w:rFonts w:hint="eastAsia" w:ascii="仿宋" w:hAnsi="仿宋" w:eastAsia="仿宋" w:cs="仿宋"/>
          <w:color w:val="auto"/>
          <w:spacing w:val="-1"/>
          <w:sz w:val="22"/>
          <w:szCs w:val="22"/>
          <w:highlight w:val="none"/>
          <w:lang w:eastAsia="zh-CN"/>
        </w:rPr>
        <w:t>；</w:t>
      </w:r>
    </w:p>
    <w:p w14:paraId="6AA28E99">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有依法缴纳税收和社会保障资金的良好记录</w:t>
      </w:r>
      <w:r>
        <w:rPr>
          <w:rFonts w:hint="eastAsia" w:ascii="仿宋" w:hAnsi="仿宋" w:eastAsia="仿宋" w:cs="仿宋"/>
          <w:color w:val="auto"/>
          <w:spacing w:val="-1"/>
          <w:sz w:val="22"/>
          <w:szCs w:val="22"/>
          <w:highlight w:val="none"/>
          <w:lang w:eastAsia="zh-CN"/>
        </w:rPr>
        <w:t>：</w:t>
      </w:r>
      <w:r>
        <w:rPr>
          <w:rFonts w:hint="eastAsia" w:cs="仿宋"/>
          <w:color w:val="auto"/>
          <w:spacing w:val="-1"/>
          <w:sz w:val="22"/>
          <w:szCs w:val="22"/>
          <w:highlight w:val="none"/>
          <w:u w:val="single"/>
          <w:lang w:val="en-US"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w:t>
      </w:r>
      <w:r>
        <w:rPr>
          <w:rFonts w:hint="eastAsia" w:ascii="仿宋" w:hAnsi="仿宋" w:eastAsia="仿宋" w:cs="仿宋"/>
          <w:color w:val="auto"/>
          <w:spacing w:val="-1"/>
          <w:sz w:val="22"/>
          <w:szCs w:val="22"/>
          <w:highlight w:val="none"/>
          <w:u w:val="single"/>
          <w:lang w:val="en-US" w:eastAsia="zh-CN"/>
        </w:rPr>
        <w:t>。（所属期税款为“0”而无缴纳凭证的，应有经税务机关盖章认可的零申报说明等证明；成立未满 3个月的投标供应商，提供成立之日起至投标截止日止的税收和社会保障资金缴纳凭证。）</w:t>
      </w:r>
    </w:p>
    <w:p w14:paraId="5DEE49BE">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参加政府采购活动前三年内，在经营活动中没有重大违法记录</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提供参加政府采购活动前3年内在经营活动中没有重大违法记录的书面声明（</w:t>
      </w:r>
      <w:r>
        <w:rPr>
          <w:rFonts w:hint="eastAsia" w:cs="仿宋"/>
          <w:color w:val="auto"/>
          <w:spacing w:val="-1"/>
          <w:sz w:val="22"/>
          <w:szCs w:val="22"/>
          <w:highlight w:val="none"/>
          <w:u w:val="single"/>
          <w:lang w:val="en-US" w:eastAsia="zh-CN"/>
        </w:rPr>
        <w:t>提供声明函，格式自拟</w:t>
      </w:r>
      <w:r>
        <w:rPr>
          <w:rFonts w:hint="eastAsia" w:ascii="仿宋" w:hAnsi="仿宋" w:eastAsia="仿宋" w:cs="仿宋"/>
          <w:color w:val="auto"/>
          <w:spacing w:val="-1"/>
          <w:sz w:val="22"/>
          <w:szCs w:val="22"/>
          <w:highlight w:val="none"/>
          <w:u w:val="single"/>
          <w:lang w:val="en-US" w:eastAsia="zh-CN"/>
        </w:rPr>
        <w:t>）</w:t>
      </w:r>
    </w:p>
    <w:p w14:paraId="1FBED871">
      <w:pPr>
        <w:pStyle w:val="9"/>
        <w:keepNext w:val="0"/>
        <w:keepLines w:val="0"/>
        <w:pageBreakBefore w:val="0"/>
        <w:widowControl/>
        <w:numPr>
          <w:ilvl w:val="0"/>
          <w:numId w:val="2"/>
        </w:numPr>
        <w:kinsoku/>
        <w:wordWrap/>
        <w:overflowPunct/>
        <w:topLinePunct w:val="0"/>
        <w:autoSpaceDE w:val="0"/>
        <w:autoSpaceDN w:val="0"/>
        <w:bidi w:val="0"/>
        <w:adjustRightInd w:val="0"/>
        <w:snapToGrid w:val="0"/>
        <w:spacing w:before="4" w:after="0" w:afterLines="20" w:line="360" w:lineRule="auto"/>
        <w:ind w:left="109" w:firstLine="438"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法律、行政法规规定的其他条件</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列入失信被执行人、重大税收违法案件当事人名单、政府采购严重违法失信行为记录名单且还在执行期的投标人，拒绝其参与本次采购活动，查询渠道：“信用中国网、中国政府采购网”网站，提供查询记录截图加盖投标人公章，截图须体现查询时间（查询时间为：公告发布之日起至开标前一天的任意时间），截图须清晰完整</w:t>
      </w:r>
      <w:r>
        <w:rPr>
          <w:rFonts w:hint="eastAsia" w:ascii="仿宋" w:hAnsi="仿宋" w:eastAsia="仿宋" w:cs="仿宋"/>
          <w:color w:val="auto"/>
          <w:spacing w:val="-1"/>
          <w:sz w:val="22"/>
          <w:szCs w:val="22"/>
          <w:highlight w:val="none"/>
          <w:lang w:val="en-US" w:eastAsia="zh-CN"/>
        </w:rPr>
        <w:t>。</w:t>
      </w:r>
    </w:p>
    <w:p w14:paraId="6854C451">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38" w:firstLineChars="200"/>
        <w:jc w:val="both"/>
        <w:rPr>
          <w:rFonts w:hint="eastAsia" w:ascii="仿宋" w:hAnsi="仿宋" w:eastAsia="仿宋" w:cs="仿宋"/>
          <w:color w:val="auto"/>
          <w:spacing w:val="-48"/>
          <w:sz w:val="22"/>
          <w:szCs w:val="22"/>
          <w:highlight w:val="none"/>
          <w:lang w:eastAsia="zh-CN"/>
        </w:rPr>
      </w:pPr>
      <w:r>
        <w:rPr>
          <w:rFonts w:hint="eastAsia" w:ascii="仿宋" w:hAnsi="仿宋" w:eastAsia="仿宋" w:cs="仿宋"/>
          <w:b/>
          <w:bCs/>
          <w:color w:val="auto"/>
          <w:spacing w:val="-1"/>
          <w:sz w:val="22"/>
          <w:szCs w:val="22"/>
          <w:highlight w:val="none"/>
          <w:lang w:val="en-US" w:eastAsia="zh-CN"/>
        </w:rPr>
        <w:t>2、</w:t>
      </w:r>
      <w:r>
        <w:rPr>
          <w:rFonts w:hint="eastAsia" w:ascii="仿宋" w:hAnsi="仿宋" w:eastAsia="仿宋" w:cs="仿宋"/>
          <w:b/>
          <w:bCs/>
          <w:color w:val="auto"/>
          <w:spacing w:val="-1"/>
          <w:sz w:val="22"/>
          <w:szCs w:val="22"/>
          <w:highlight w:val="none"/>
          <w:lang w:eastAsia="zh-CN"/>
        </w:rPr>
        <w:t>落实政府采购政策需满足的资格要求</w:t>
      </w:r>
      <w:r>
        <w:rPr>
          <w:rFonts w:hint="eastAsia" w:ascii="仿宋" w:hAnsi="仿宋" w:eastAsia="仿宋" w:cs="仿宋"/>
          <w:color w:val="auto"/>
          <w:spacing w:val="-48"/>
          <w:sz w:val="22"/>
          <w:szCs w:val="22"/>
          <w:highlight w:val="none"/>
          <w:lang w:eastAsia="zh-CN"/>
        </w:rPr>
        <w:t>：</w:t>
      </w:r>
    </w:p>
    <w:p w14:paraId="5C92BBB5">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（1）本项目专门面向中小</w:t>
      </w:r>
      <w:r>
        <w:rPr>
          <w:rFonts w:hint="eastAsia" w:cs="仿宋"/>
          <w:color w:val="auto"/>
          <w:sz w:val="22"/>
          <w:szCs w:val="22"/>
          <w:highlight w:val="none"/>
          <w:u w:val="none"/>
          <w:lang w:val="en-US" w:eastAsia="zh-CN"/>
        </w:rPr>
        <w:t>微</w:t>
      </w:r>
      <w:r>
        <w:rPr>
          <w:rFonts w:hint="eastAsia" w:ascii="仿宋" w:hAnsi="仿宋" w:eastAsia="仿宋" w:cs="仿宋"/>
          <w:color w:val="auto"/>
          <w:sz w:val="22"/>
          <w:szCs w:val="22"/>
          <w:highlight w:val="none"/>
          <w:u w:val="none"/>
          <w:lang w:val="en-US" w:eastAsia="zh-CN"/>
        </w:rPr>
        <w:t>企业采购，不再执行价格扣除。中小企业划分标准依照工业和信息化部、国家统计局、国家发展和改革委员会、财政部联合下发的《关于印发中小企业划型标准规定的通知》（工信部联企业《2011》300号）执行；</w:t>
      </w:r>
    </w:p>
    <w:p w14:paraId="1431A673">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default"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val="0"/>
          <w:color w:val="auto"/>
          <w:sz w:val="22"/>
          <w:szCs w:val="22"/>
          <w:highlight w:val="none"/>
          <w:u w:val="none"/>
          <w:lang w:val="en-US" w:eastAsia="zh-CN"/>
        </w:rPr>
        <w:t>（</w:t>
      </w:r>
      <w:r>
        <w:rPr>
          <w:rFonts w:hint="eastAsia" w:ascii="仿宋" w:hAnsi="仿宋" w:eastAsia="仿宋" w:cs="仿宋"/>
          <w:strike w:val="0"/>
          <w:dstrike/>
          <w:color w:val="auto"/>
          <w:sz w:val="22"/>
          <w:szCs w:val="22"/>
          <w:highlight w:val="none"/>
          <w:u w:val="none"/>
          <w:lang w:val="en-US" w:eastAsia="zh-CN"/>
        </w:rPr>
        <w:t>2）对原产地在少数民族自治区和享受少数民族自治待遇的省份（云南、贵州、青海）的投标主产品（不含附带产品），在总得分基础上加3分。投标主产品按照不得低于本采购项目预算金额50%加以确定；</w:t>
      </w:r>
      <w:r>
        <w:rPr>
          <w:rFonts w:hint="eastAsia" w:cs="仿宋"/>
          <w:strike w:val="0"/>
          <w:dstrike/>
          <w:color w:val="auto"/>
          <w:sz w:val="22"/>
          <w:szCs w:val="22"/>
          <w:highlight w:val="none"/>
          <w:u w:val="none"/>
          <w:lang w:val="en-US" w:eastAsia="zh-CN"/>
        </w:rPr>
        <w:t>（本项目为服务采购项目，不适用本条要求）</w:t>
      </w:r>
    </w:p>
    <w:p w14:paraId="4EB854CF">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color w:val="auto"/>
          <w:sz w:val="22"/>
          <w:szCs w:val="22"/>
          <w:highlight w:val="none"/>
          <w:u w:val="none"/>
          <w:lang w:val="en-US"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w:t>
      </w:r>
      <w:r>
        <w:rPr>
          <w:rFonts w:hint="eastAsia" w:cs="仿宋"/>
          <w:strike w:val="0"/>
          <w:dstrike/>
          <w:color w:val="auto"/>
          <w:sz w:val="22"/>
          <w:szCs w:val="22"/>
          <w:highlight w:val="none"/>
          <w:u w:val="none"/>
          <w:lang w:val="en-US" w:eastAsia="zh-CN"/>
        </w:rPr>
        <w:t>（本项目为服务采购项目，不适用本条要求）</w:t>
      </w:r>
    </w:p>
    <w:p w14:paraId="45606F73">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（4）符合条件的残疾人福利性单位视同小型、微型企业在投标中享受同等优惠，但须提供《残疾人福利性单位声明函》，监狱企业视同小型、微型企业（以当地管理部门出具的证明为准）</w:t>
      </w:r>
      <w:r>
        <w:rPr>
          <w:rFonts w:hint="eastAsia" w:cs="仿宋"/>
          <w:color w:val="auto"/>
          <w:sz w:val="22"/>
          <w:szCs w:val="22"/>
          <w:highlight w:val="none"/>
          <w:u w:val="none"/>
          <w:lang w:val="en-US" w:eastAsia="zh-CN"/>
        </w:rPr>
        <w:t>。</w:t>
      </w:r>
    </w:p>
    <w:p w14:paraId="02BBC84F">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注：残疾人福利性单位属于中小企业的，不重复享受政策</w:t>
      </w:r>
      <w:r>
        <w:rPr>
          <w:rFonts w:hint="eastAsia" w:cs="仿宋"/>
          <w:color w:val="auto"/>
          <w:sz w:val="22"/>
          <w:szCs w:val="22"/>
          <w:highlight w:val="none"/>
          <w:u w:val="none"/>
          <w:lang w:val="en-US" w:eastAsia="zh-CN"/>
        </w:rPr>
        <w:t>。</w:t>
      </w:r>
    </w:p>
    <w:p w14:paraId="73A76BAA">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（本项目专门面向中小微企业采购，供应商应为中小微企业、监狱企业、残疾人福利性单位,提供中小企业声明函）</w:t>
      </w:r>
    </w:p>
    <w:p w14:paraId="1E013B3D">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3.</w:t>
      </w:r>
      <w:r>
        <w:rPr>
          <w:rFonts w:hint="eastAsia" w:ascii="仿宋" w:hAnsi="仿宋" w:eastAsia="仿宋" w:cs="仿宋"/>
          <w:b/>
          <w:bCs/>
          <w:color w:val="auto"/>
          <w:sz w:val="22"/>
          <w:szCs w:val="22"/>
          <w:highlight w:val="none"/>
          <w:u w:val="none"/>
          <w:lang w:eastAsia="zh-CN"/>
        </w:rPr>
        <w:t>本项目的特定资格要求</w:t>
      </w:r>
      <w:r>
        <w:rPr>
          <w:rFonts w:hint="eastAsia" w:ascii="仿宋" w:hAnsi="仿宋" w:eastAsia="仿宋" w:cs="仿宋"/>
          <w:color w:val="auto"/>
          <w:sz w:val="22"/>
          <w:szCs w:val="22"/>
          <w:highlight w:val="none"/>
          <w:u w:val="none"/>
          <w:lang w:eastAsia="zh-CN"/>
        </w:rPr>
        <w:t>：</w:t>
      </w:r>
      <w:r>
        <w:rPr>
          <w:rFonts w:hint="eastAsia" w:cs="仿宋"/>
          <w:b w:val="0"/>
          <w:bCs w:val="0"/>
          <w:color w:val="auto"/>
          <w:sz w:val="22"/>
          <w:szCs w:val="22"/>
          <w:highlight w:val="none"/>
          <w:u w:val="single"/>
          <w:lang w:val="en-US" w:eastAsia="zh-CN"/>
        </w:rPr>
        <w:t>投标人须具备食品经营许可证或食品经营备案证明</w:t>
      </w:r>
      <w:r>
        <w:rPr>
          <w:rFonts w:hint="eastAsia" w:ascii="仿宋" w:hAnsi="仿宋" w:eastAsia="仿宋" w:cs="仿宋"/>
          <w:color w:val="auto"/>
          <w:sz w:val="22"/>
          <w:szCs w:val="22"/>
          <w:highlight w:val="none"/>
          <w:u w:val="none"/>
          <w:lang w:eastAsia="zh-CN"/>
        </w:rPr>
        <w:t>。</w:t>
      </w:r>
    </w:p>
    <w:p w14:paraId="7867E730">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240" w:lineRule="auto"/>
        <w:rPr>
          <w:rFonts w:hint="eastAsia" w:ascii="仿宋" w:hAnsi="仿宋" w:eastAsia="仿宋" w:cs="仿宋"/>
          <w:color w:val="auto"/>
          <w:sz w:val="22"/>
          <w:szCs w:val="22"/>
          <w:highlight w:val="none"/>
          <w:lang w:eastAsia="zh-CN"/>
        </w:rPr>
      </w:pPr>
      <w:r>
        <w:rPr>
          <w:rFonts w:hint="eastAsia" w:cs="仿宋"/>
          <w:b/>
          <w:bCs/>
          <w:color w:val="auto"/>
          <w:spacing w:val="-1"/>
          <w:position w:val="17"/>
          <w:sz w:val="22"/>
          <w:szCs w:val="22"/>
          <w:highlight w:val="none"/>
          <w:lang w:val="en-US" w:eastAsia="zh-CN"/>
        </w:rPr>
        <w:t>三</w:t>
      </w:r>
      <w:r>
        <w:rPr>
          <w:rFonts w:hint="eastAsia" w:ascii="仿宋" w:hAnsi="仿宋" w:eastAsia="仿宋" w:cs="仿宋"/>
          <w:b/>
          <w:bCs/>
          <w:color w:val="auto"/>
          <w:spacing w:val="-1"/>
          <w:position w:val="17"/>
          <w:sz w:val="22"/>
          <w:szCs w:val="22"/>
          <w:highlight w:val="none"/>
          <w:lang w:val="en-US" w:eastAsia="zh-CN"/>
        </w:rPr>
        <w:t>、</w:t>
      </w:r>
      <w:r>
        <w:rPr>
          <w:rFonts w:hint="eastAsia" w:ascii="仿宋" w:hAnsi="仿宋" w:eastAsia="仿宋" w:cs="仿宋"/>
          <w:b/>
          <w:bCs/>
          <w:color w:val="auto"/>
          <w:spacing w:val="-1"/>
          <w:position w:val="17"/>
          <w:sz w:val="22"/>
          <w:szCs w:val="22"/>
          <w:highlight w:val="none"/>
          <w:lang w:eastAsia="zh-CN"/>
        </w:rPr>
        <w:t>凡对本次采购提出询问，请按以下方式联系（优先联系采购代理机构）</w:t>
      </w:r>
    </w:p>
    <w:p w14:paraId="5BEB1B35">
      <w:pPr>
        <w:pStyle w:val="9"/>
        <w:keepNext w:val="0"/>
        <w:keepLines w:val="0"/>
        <w:pageBreakBefore w:val="0"/>
        <w:widowControl/>
        <w:kinsoku/>
        <w:wordWrap/>
        <w:overflowPunct/>
        <w:topLinePunct w:val="0"/>
        <w:autoSpaceDE w:val="0"/>
        <w:autoSpaceDN w:val="0"/>
        <w:bidi w:val="0"/>
        <w:adjustRightInd w:val="0"/>
        <w:snapToGrid w:val="0"/>
        <w:spacing w:before="4" w:after="0" w:afterLines="20" w:line="360" w:lineRule="auto"/>
        <w:ind w:left="491"/>
        <w:rPr>
          <w:rFonts w:hint="eastAsia" w:ascii="仿宋" w:hAnsi="仿宋" w:eastAsia="仿宋" w:cs="仿宋"/>
          <w:color w:val="auto"/>
          <w:spacing w:val="-4"/>
          <w:sz w:val="22"/>
          <w:szCs w:val="22"/>
          <w:highlight w:val="none"/>
          <w:lang w:eastAsia="zh-CN"/>
        </w:rPr>
      </w:pPr>
      <w:r>
        <w:rPr>
          <w:rFonts w:hint="eastAsia" w:ascii="仿宋" w:hAnsi="仿宋" w:eastAsia="仿宋" w:cs="仿宋"/>
          <w:color w:val="auto"/>
          <w:spacing w:val="-4"/>
          <w:sz w:val="22"/>
          <w:szCs w:val="22"/>
          <w:highlight w:val="none"/>
          <w:lang w:eastAsia="zh-CN"/>
        </w:rPr>
        <w:t>1.采购人信息</w:t>
      </w:r>
    </w:p>
    <w:p w14:paraId="48FAB407">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仁怀市茅台镇人民政府</w:t>
      </w:r>
    </w:p>
    <w:p w14:paraId="3003D134">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val="en-US" w:eastAsia="zh-CN"/>
        </w:rPr>
        <w:t>仁怀市茅台镇杨柳湾社区</w:t>
      </w:r>
    </w:p>
    <w:p w14:paraId="74404133">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color w:val="auto"/>
          <w:highlight w:val="none"/>
          <w:lang w:val="en-US"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eastAsia="zh-CN"/>
        </w:rPr>
        <w:t>王</w:t>
      </w:r>
      <w:r>
        <w:rPr>
          <w:rFonts w:hint="eastAsia" w:ascii="仿宋" w:hAnsi="仿宋" w:eastAsia="仿宋" w:cs="仿宋"/>
          <w:color w:val="auto"/>
          <w:sz w:val="22"/>
          <w:szCs w:val="22"/>
          <w:highlight w:val="none"/>
          <w:lang w:val="en-US" w:eastAsia="zh-CN"/>
        </w:rPr>
        <w:t>主任</w:t>
      </w:r>
    </w:p>
    <w:p w14:paraId="701EC42A">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085122331308</w:t>
      </w:r>
    </w:p>
    <w:p w14:paraId="11714136">
      <w:pPr>
        <w:pStyle w:val="32"/>
        <w:keepNext w:val="0"/>
        <w:keepLines w:val="0"/>
        <w:pageBreakBefore w:val="0"/>
        <w:widowControl/>
        <w:kinsoku/>
        <w:wordWrap/>
        <w:overflowPunct/>
        <w:topLinePunct w:val="0"/>
        <w:autoSpaceDE w:val="0"/>
        <w:autoSpaceDN w:val="0"/>
        <w:bidi w:val="0"/>
        <w:adjustRightInd w:val="0"/>
        <w:snapToGrid w:val="0"/>
        <w:spacing w:before="4" w:after="0" w:afterLines="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2.采购代理机构信息</w:t>
      </w:r>
    </w:p>
    <w:p w14:paraId="015790E4">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eastAsia="zh-CN"/>
        </w:rPr>
        <w:t>贵州星博睿工程管理有限公司</w:t>
      </w:r>
    </w:p>
    <w:p w14:paraId="6A6A1DCD">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eastAsia="zh-CN"/>
        </w:rPr>
        <w:t>遵义市新蒲新区遵义金融商务中心3号楼13楼1307室</w:t>
      </w:r>
    </w:p>
    <w:p w14:paraId="4F4DDA05">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eastAsia="zh-CN"/>
        </w:rPr>
        <w:t>李先生</w:t>
      </w:r>
    </w:p>
    <w:p w14:paraId="63443CD3">
      <w:pPr>
        <w:pStyle w:val="32"/>
        <w:keepNext w:val="0"/>
        <w:keepLines w:val="0"/>
        <w:pageBreakBefore w:val="0"/>
        <w:widowControl/>
        <w:kinsoku/>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14785770440</w:t>
      </w:r>
    </w:p>
    <w:p w14:paraId="38E5256A">
      <w:pPr>
        <w:pStyle w:val="9"/>
        <w:keepNext w:val="0"/>
        <w:keepLines w:val="0"/>
        <w:pageBreakBefore w:val="0"/>
        <w:widowControl/>
        <w:kinsoku/>
        <w:wordWrap/>
        <w:overflowPunct/>
        <w:topLinePunct w:val="0"/>
        <w:autoSpaceDE w:val="0"/>
        <w:autoSpaceDN w:val="0"/>
        <w:bidi w:val="0"/>
        <w:adjustRightInd w:val="0"/>
        <w:snapToGrid w:val="0"/>
        <w:spacing w:before="4" w:after="0" w:afterLines="20" w:line="360" w:lineRule="auto"/>
        <w:ind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3.项目联系方式</w:t>
      </w:r>
    </w:p>
    <w:p w14:paraId="451B672D">
      <w:pPr>
        <w:pStyle w:val="9"/>
        <w:keepNext w:val="0"/>
        <w:keepLines w:val="0"/>
        <w:pageBreakBefore w:val="0"/>
        <w:widowControl/>
        <w:kinsoku/>
        <w:wordWrap/>
        <w:overflowPunct/>
        <w:topLinePunct w:val="0"/>
        <w:autoSpaceDE w:val="0"/>
        <w:autoSpaceDN w:val="0"/>
        <w:bidi w:val="0"/>
        <w:adjustRightInd w:val="0"/>
        <w:snapToGrid w:val="0"/>
        <w:spacing w:before="4" w:after="0" w:afterLines="20" w:line="360" w:lineRule="auto"/>
        <w:ind w:left="480" w:firstLine="214"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项目联系人：</w:t>
      </w:r>
      <w:r>
        <w:rPr>
          <w:rFonts w:hint="eastAsia" w:cs="仿宋"/>
          <w:color w:val="auto"/>
          <w:spacing w:val="-3"/>
          <w:sz w:val="22"/>
          <w:szCs w:val="22"/>
          <w:highlight w:val="none"/>
          <w:u w:val="single"/>
          <w:lang w:eastAsia="zh-CN"/>
        </w:rPr>
        <w:t>李先生</w:t>
      </w:r>
    </w:p>
    <w:p w14:paraId="482CD601">
      <w:pPr>
        <w:pStyle w:val="9"/>
        <w:keepNext w:val="0"/>
        <w:keepLines w:val="0"/>
        <w:pageBreakBefore w:val="0"/>
        <w:widowControl/>
        <w:kinsoku/>
        <w:wordWrap/>
        <w:overflowPunct/>
        <w:topLinePunct w:val="0"/>
        <w:autoSpaceDE w:val="0"/>
        <w:autoSpaceDN w:val="0"/>
        <w:bidi w:val="0"/>
        <w:adjustRightInd w:val="0"/>
        <w:snapToGrid w:val="0"/>
        <w:spacing w:before="4" w:after="0" w:afterLines="20" w:line="360" w:lineRule="auto"/>
        <w:ind w:left="506" w:firstLine="210"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联系方式：</w:t>
      </w:r>
      <w:r>
        <w:rPr>
          <w:rFonts w:hint="eastAsia" w:cs="仿宋"/>
          <w:color w:val="auto"/>
          <w:spacing w:val="-1"/>
          <w:sz w:val="22"/>
          <w:szCs w:val="22"/>
          <w:highlight w:val="none"/>
          <w:u w:val="single"/>
          <w:lang w:val="en-US" w:eastAsia="zh-CN"/>
        </w:rPr>
        <w:t>14785770440</w:t>
      </w:r>
    </w:p>
    <w:p w14:paraId="74820896">
      <w:pPr>
        <w:pStyle w:val="3"/>
        <w:keepNext/>
        <w:keepLines/>
        <w:pageBreakBefore/>
        <w:widowControl/>
        <w:kinsoku/>
        <w:wordWrap/>
        <w:overflowPunct/>
        <w:topLinePunct w:val="0"/>
        <w:autoSpaceDE w:val="0"/>
        <w:autoSpaceDN w:val="0"/>
        <w:bidi w:val="0"/>
        <w:adjustRightInd w:val="0"/>
        <w:snapToGrid w:val="0"/>
        <w:spacing w:line="413" w:lineRule="auto"/>
        <w:jc w:val="center"/>
        <w:textAlignment w:val="baseline"/>
        <w:rPr>
          <w:rFonts w:hint="eastAsia" w:ascii="仿宋" w:hAnsi="仿宋" w:eastAsia="仿宋" w:cs="仿宋"/>
          <w:color w:val="auto"/>
          <w:highlight w:val="none"/>
          <w:lang w:eastAsia="zh-CN"/>
        </w:rPr>
      </w:pPr>
      <w:bookmarkStart w:id="0" w:name="_Toc4629"/>
      <w:r>
        <w:rPr>
          <w:rFonts w:hint="eastAsia" w:ascii="仿宋" w:hAnsi="仿宋" w:eastAsia="仿宋" w:cs="仿宋"/>
          <w:color w:val="auto"/>
          <w:highlight w:val="none"/>
          <w:lang w:eastAsia="zh-CN"/>
        </w:rPr>
        <w:t>第一部分专用部分</w:t>
      </w:r>
      <w:bookmarkEnd w:id="0"/>
    </w:p>
    <w:p w14:paraId="218805F8">
      <w:pPr>
        <w:pStyle w:val="4"/>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1" w:name="_Toc4848"/>
      <w:r>
        <w:rPr>
          <w:rFonts w:hint="eastAsia" w:ascii="仿宋" w:hAnsi="仿宋" w:eastAsia="仿宋" w:cs="仿宋"/>
          <w:color w:val="auto"/>
          <w:highlight w:val="none"/>
          <w:lang w:eastAsia="zh-CN"/>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供应商须知</w:t>
      </w:r>
      <w:bookmarkEnd w:id="1"/>
    </w:p>
    <w:tbl>
      <w:tblPr>
        <w:tblStyle w:val="30"/>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5"/>
        <w:gridCol w:w="7"/>
        <w:gridCol w:w="2030"/>
        <w:gridCol w:w="5"/>
        <w:gridCol w:w="6490"/>
        <w:gridCol w:w="7"/>
        <w:gridCol w:w="5"/>
      </w:tblGrid>
      <w:tr w14:paraId="2C5FB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4" w:hRule="atLeast"/>
        </w:trPr>
        <w:tc>
          <w:tcPr>
            <w:tcW w:w="857" w:type="dxa"/>
            <w:gridSpan w:val="3"/>
            <w:vAlign w:val="center"/>
          </w:tcPr>
          <w:p w14:paraId="103D1613">
            <w:pPr>
              <w:pStyle w:val="31"/>
              <w:keepNext w:val="0"/>
              <w:keepLines w:val="0"/>
              <w:pageBreakBefore w:val="0"/>
              <w:widowControl/>
              <w:kinsoku/>
              <w:wordWrap/>
              <w:overflowPunct/>
              <w:topLinePunct w:val="0"/>
              <w:autoSpaceDE w:val="0"/>
              <w:autoSpaceDN w:val="0"/>
              <w:bidi w:val="0"/>
              <w:adjustRightInd w:val="0"/>
              <w:snapToGrid w:val="0"/>
              <w:spacing w:line="240" w:lineRule="auto"/>
              <w:ind w:left="17"/>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条款号</w:t>
            </w:r>
          </w:p>
        </w:tc>
        <w:tc>
          <w:tcPr>
            <w:tcW w:w="2035" w:type="dxa"/>
            <w:gridSpan w:val="2"/>
            <w:vAlign w:val="center"/>
          </w:tcPr>
          <w:p w14:paraId="7B561A63">
            <w:pPr>
              <w:pStyle w:val="31"/>
              <w:keepNext w:val="0"/>
              <w:keepLines w:val="0"/>
              <w:pageBreakBefore w:val="0"/>
              <w:widowControl/>
              <w:kinsoku/>
              <w:wordWrap/>
              <w:overflowPunct/>
              <w:topLinePunct w:val="0"/>
              <w:autoSpaceDE w:val="0"/>
              <w:autoSpaceDN w:val="0"/>
              <w:bidi w:val="0"/>
              <w:adjustRightInd w:val="0"/>
              <w:snapToGrid w:val="0"/>
              <w:spacing w:line="240" w:lineRule="auto"/>
              <w:ind w:left="528"/>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7"/>
                <w:sz w:val="22"/>
                <w:szCs w:val="22"/>
                <w:highlight w:val="none"/>
              </w:rPr>
              <w:t>条款名称</w:t>
            </w:r>
          </w:p>
        </w:tc>
        <w:tc>
          <w:tcPr>
            <w:tcW w:w="6490" w:type="dxa"/>
            <w:vAlign w:val="center"/>
          </w:tcPr>
          <w:p w14:paraId="07A47B05">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7"/>
                <w:sz w:val="22"/>
                <w:szCs w:val="22"/>
                <w:highlight w:val="none"/>
              </w:rPr>
              <w:t>编列内容</w:t>
            </w:r>
          </w:p>
        </w:tc>
      </w:tr>
      <w:tr w14:paraId="61CF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802" w:hRule="atLeast"/>
        </w:trPr>
        <w:tc>
          <w:tcPr>
            <w:tcW w:w="857" w:type="dxa"/>
            <w:gridSpan w:val="3"/>
            <w:vAlign w:val="center"/>
          </w:tcPr>
          <w:p w14:paraId="77D9C8E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4A69DF1">
            <w:pPr>
              <w:pStyle w:val="31"/>
              <w:keepNext w:val="0"/>
              <w:keepLines w:val="0"/>
              <w:pageBreakBefore w:val="0"/>
              <w:widowControl/>
              <w:kinsoku/>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1.1.1</w:t>
            </w:r>
          </w:p>
        </w:tc>
        <w:tc>
          <w:tcPr>
            <w:tcW w:w="2035" w:type="dxa"/>
            <w:gridSpan w:val="2"/>
            <w:vAlign w:val="center"/>
          </w:tcPr>
          <w:p w14:paraId="02C1536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769294CA">
            <w:pPr>
              <w:pStyle w:val="31"/>
              <w:keepNext w:val="0"/>
              <w:keepLines w:val="0"/>
              <w:pageBreakBefore w:val="0"/>
              <w:widowControl/>
              <w:kinsoku/>
              <w:wordWrap/>
              <w:overflowPunct/>
              <w:topLinePunct w:val="0"/>
              <w:autoSpaceDE w:val="0"/>
              <w:autoSpaceDN w:val="0"/>
              <w:bidi w:val="0"/>
              <w:adjustRightInd w:val="0"/>
              <w:snapToGrid w:val="0"/>
              <w:spacing w:line="240" w:lineRule="auto"/>
              <w:ind w:left="515"/>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6490" w:type="dxa"/>
            <w:vAlign w:val="center"/>
          </w:tcPr>
          <w:p w14:paraId="6B3A5AE0">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cs="仿宋"/>
                <w:color w:val="auto"/>
                <w:sz w:val="22"/>
                <w:szCs w:val="22"/>
                <w:highlight w:val="none"/>
                <w:lang w:eastAsia="zh-CN"/>
              </w:rPr>
              <w:t>名</w:t>
            </w:r>
            <w:r>
              <w:rPr>
                <w:rFonts w:hint="eastAsia" w:cs="仿宋"/>
                <w:color w:val="auto"/>
                <w:sz w:val="22"/>
                <w:szCs w:val="22"/>
                <w:highlight w:val="none"/>
                <w:lang w:val="en-US" w:eastAsia="zh-CN"/>
              </w:rPr>
              <w:t>称：仁怀市茅台镇人民政府</w:t>
            </w:r>
          </w:p>
          <w:p w14:paraId="5A90186B">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cs="仿宋"/>
                <w:color w:val="auto"/>
                <w:sz w:val="22"/>
                <w:szCs w:val="22"/>
                <w:highlight w:val="none"/>
                <w:lang w:val="en-US" w:eastAsia="zh-CN"/>
              </w:rPr>
              <w:t>地址：仁怀市茅台镇杨柳湾社区</w:t>
            </w:r>
          </w:p>
          <w:p w14:paraId="4823A347">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cs="仿宋"/>
                <w:color w:val="auto"/>
                <w:sz w:val="22"/>
                <w:szCs w:val="22"/>
                <w:highlight w:val="none"/>
                <w:lang w:eastAsia="zh-CN"/>
              </w:rPr>
              <w:t>联系人：王</w:t>
            </w:r>
            <w:r>
              <w:rPr>
                <w:rFonts w:hint="eastAsia" w:cs="仿宋"/>
                <w:color w:val="auto"/>
                <w:sz w:val="22"/>
                <w:szCs w:val="22"/>
                <w:highlight w:val="none"/>
                <w:lang w:val="en-US" w:eastAsia="zh-CN"/>
              </w:rPr>
              <w:t>主任</w:t>
            </w:r>
          </w:p>
          <w:p w14:paraId="57439C26">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联系方式：085122331308</w:t>
            </w:r>
          </w:p>
        </w:tc>
      </w:tr>
      <w:tr w14:paraId="75405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vAlign w:val="center"/>
          </w:tcPr>
          <w:p w14:paraId="6D7A294B">
            <w:pPr>
              <w:pStyle w:val="31"/>
              <w:keepNext w:val="0"/>
              <w:keepLines w:val="0"/>
              <w:pageBreakBefore w:val="0"/>
              <w:widowControl/>
              <w:kinsoku/>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1.1.2</w:t>
            </w:r>
          </w:p>
        </w:tc>
        <w:tc>
          <w:tcPr>
            <w:tcW w:w="2035" w:type="dxa"/>
            <w:gridSpan w:val="2"/>
            <w:vAlign w:val="center"/>
          </w:tcPr>
          <w:p w14:paraId="46A0FD3A">
            <w:pPr>
              <w:pStyle w:val="31"/>
              <w:keepNext w:val="0"/>
              <w:keepLines w:val="0"/>
              <w:pageBreakBefore w:val="0"/>
              <w:widowControl/>
              <w:kinsoku/>
              <w:wordWrap/>
              <w:overflowPunct/>
              <w:topLinePunct w:val="0"/>
              <w:autoSpaceDE w:val="0"/>
              <w:autoSpaceDN w:val="0"/>
              <w:bidi w:val="0"/>
              <w:adjustRightInd w:val="0"/>
              <w:snapToGrid w:val="0"/>
              <w:spacing w:line="240" w:lineRule="auto"/>
              <w:ind w:left="26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采购代理机构</w:t>
            </w:r>
          </w:p>
        </w:tc>
        <w:tc>
          <w:tcPr>
            <w:tcW w:w="6490" w:type="dxa"/>
            <w:vAlign w:val="center"/>
          </w:tcPr>
          <w:p w14:paraId="036F7196">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名称：</w:t>
            </w:r>
            <w:r>
              <w:rPr>
                <w:rFonts w:hint="eastAsia" w:cs="仿宋"/>
                <w:color w:val="auto"/>
                <w:sz w:val="22"/>
                <w:szCs w:val="22"/>
                <w:highlight w:val="none"/>
                <w:lang w:eastAsia="zh-CN"/>
              </w:rPr>
              <w:t>贵州星博睿工程管理有限公司</w:t>
            </w:r>
          </w:p>
          <w:p w14:paraId="74DD3372">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　址：</w:t>
            </w:r>
            <w:r>
              <w:rPr>
                <w:rFonts w:hint="eastAsia" w:cs="仿宋"/>
                <w:color w:val="auto"/>
                <w:sz w:val="22"/>
                <w:szCs w:val="22"/>
                <w:highlight w:val="none"/>
                <w:lang w:eastAsia="zh-CN"/>
              </w:rPr>
              <w:t>遵义市新蒲新区遵义金融商务中心3号楼13楼1307室</w:t>
            </w:r>
          </w:p>
          <w:p w14:paraId="4C396851">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联系人：</w:t>
            </w:r>
            <w:r>
              <w:rPr>
                <w:rFonts w:hint="eastAsia" w:cs="仿宋"/>
                <w:color w:val="auto"/>
                <w:sz w:val="22"/>
                <w:szCs w:val="22"/>
                <w:highlight w:val="none"/>
                <w:lang w:val="en-US" w:eastAsia="zh-CN"/>
              </w:rPr>
              <w:t>李先生</w:t>
            </w:r>
          </w:p>
          <w:p w14:paraId="5F7EB622">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联系方式：</w:t>
            </w:r>
            <w:r>
              <w:rPr>
                <w:rFonts w:hint="eastAsia" w:cs="仿宋"/>
                <w:color w:val="auto"/>
                <w:sz w:val="22"/>
                <w:szCs w:val="22"/>
                <w:highlight w:val="none"/>
                <w:lang w:val="en-US" w:eastAsia="zh-CN"/>
              </w:rPr>
              <w:t>14785770440</w:t>
            </w:r>
          </w:p>
        </w:tc>
      </w:tr>
      <w:tr w14:paraId="6C7B1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509" w:hRule="atLeast"/>
        </w:trPr>
        <w:tc>
          <w:tcPr>
            <w:tcW w:w="857" w:type="dxa"/>
            <w:gridSpan w:val="3"/>
            <w:vAlign w:val="center"/>
          </w:tcPr>
          <w:p w14:paraId="19EA011D">
            <w:pPr>
              <w:pStyle w:val="31"/>
              <w:keepNext w:val="0"/>
              <w:keepLines w:val="0"/>
              <w:pageBreakBefore w:val="0"/>
              <w:widowControl/>
              <w:kinsoku/>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1.1.3</w:t>
            </w:r>
          </w:p>
        </w:tc>
        <w:tc>
          <w:tcPr>
            <w:tcW w:w="2035" w:type="dxa"/>
            <w:gridSpan w:val="2"/>
            <w:vAlign w:val="center"/>
          </w:tcPr>
          <w:p w14:paraId="0C471039">
            <w:pPr>
              <w:pStyle w:val="31"/>
              <w:keepNext w:val="0"/>
              <w:keepLines w:val="0"/>
              <w:pageBreakBefore w:val="0"/>
              <w:widowControl/>
              <w:kinsoku/>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项目名称</w:t>
            </w:r>
          </w:p>
        </w:tc>
        <w:tc>
          <w:tcPr>
            <w:tcW w:w="6490" w:type="dxa"/>
            <w:vAlign w:val="center"/>
          </w:tcPr>
          <w:p w14:paraId="1D841AA8">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仁怀市茅台镇机关食堂餐饮服务采购项目</w:t>
            </w:r>
          </w:p>
        </w:tc>
      </w:tr>
      <w:tr w14:paraId="0331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1" w:hRule="atLeast"/>
        </w:trPr>
        <w:tc>
          <w:tcPr>
            <w:tcW w:w="857" w:type="dxa"/>
            <w:gridSpan w:val="3"/>
            <w:vAlign w:val="center"/>
          </w:tcPr>
          <w:p w14:paraId="4E3CBDA0">
            <w:pPr>
              <w:pStyle w:val="31"/>
              <w:keepNext w:val="0"/>
              <w:keepLines w:val="0"/>
              <w:pageBreakBefore w:val="0"/>
              <w:widowControl/>
              <w:kinsoku/>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1.1.4</w:t>
            </w:r>
          </w:p>
        </w:tc>
        <w:tc>
          <w:tcPr>
            <w:tcW w:w="2035" w:type="dxa"/>
            <w:gridSpan w:val="2"/>
            <w:vAlign w:val="center"/>
          </w:tcPr>
          <w:p w14:paraId="1BF0D0DE">
            <w:pPr>
              <w:pStyle w:val="31"/>
              <w:keepNext w:val="0"/>
              <w:keepLines w:val="0"/>
              <w:pageBreakBefore w:val="0"/>
              <w:widowControl/>
              <w:kinsoku/>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项目编号</w:t>
            </w:r>
          </w:p>
        </w:tc>
        <w:tc>
          <w:tcPr>
            <w:tcW w:w="6490" w:type="dxa"/>
            <w:vAlign w:val="center"/>
          </w:tcPr>
          <w:p w14:paraId="49FAFC1D">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cs="仿宋"/>
                <w:color w:val="auto"/>
                <w:sz w:val="22"/>
                <w:szCs w:val="22"/>
                <w:highlight w:val="none"/>
                <w:lang w:val="en-US" w:eastAsia="zh-CN"/>
              </w:rPr>
              <w:t>GZXBR-2025-027</w:t>
            </w:r>
          </w:p>
        </w:tc>
      </w:tr>
      <w:tr w14:paraId="25D9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2" w:hRule="atLeast"/>
        </w:trPr>
        <w:tc>
          <w:tcPr>
            <w:tcW w:w="857" w:type="dxa"/>
            <w:gridSpan w:val="3"/>
            <w:vAlign w:val="center"/>
          </w:tcPr>
          <w:p w14:paraId="60FB27DB">
            <w:pPr>
              <w:pStyle w:val="31"/>
              <w:keepNext w:val="0"/>
              <w:keepLines w:val="0"/>
              <w:pageBreakBefore w:val="0"/>
              <w:widowControl/>
              <w:kinsoku/>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1.1.5</w:t>
            </w:r>
          </w:p>
        </w:tc>
        <w:tc>
          <w:tcPr>
            <w:tcW w:w="2035" w:type="dxa"/>
            <w:gridSpan w:val="2"/>
            <w:vAlign w:val="center"/>
          </w:tcPr>
          <w:p w14:paraId="7574AD05">
            <w:pPr>
              <w:pStyle w:val="31"/>
              <w:keepNext w:val="0"/>
              <w:keepLines w:val="0"/>
              <w:pageBreakBefore w:val="0"/>
              <w:widowControl/>
              <w:kinsoku/>
              <w:wordWrap/>
              <w:overflowPunct/>
              <w:topLinePunct w:val="0"/>
              <w:autoSpaceDE w:val="0"/>
              <w:autoSpaceDN w:val="0"/>
              <w:bidi w:val="0"/>
              <w:adjustRightInd w:val="0"/>
              <w:snapToGrid w:val="0"/>
              <w:spacing w:line="240" w:lineRule="auto"/>
              <w:ind w:left="52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采购方式</w:t>
            </w:r>
          </w:p>
        </w:tc>
        <w:tc>
          <w:tcPr>
            <w:tcW w:w="6490" w:type="dxa"/>
            <w:vAlign w:val="center"/>
          </w:tcPr>
          <w:p w14:paraId="3AAAE2AC">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竞争性磋商</w:t>
            </w:r>
          </w:p>
        </w:tc>
      </w:tr>
      <w:tr w14:paraId="6187F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tcBorders>
              <w:bottom w:val="single" w:color="auto" w:sz="4" w:space="0"/>
            </w:tcBorders>
            <w:vAlign w:val="center"/>
          </w:tcPr>
          <w:p w14:paraId="5DA53D2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1161249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208B4E4B">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826E8B2">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5621EB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B3582AF">
            <w:pPr>
              <w:pStyle w:val="31"/>
              <w:keepNext w:val="0"/>
              <w:keepLines w:val="0"/>
              <w:pageBreakBefore w:val="0"/>
              <w:widowControl/>
              <w:kinsoku/>
              <w:wordWrap/>
              <w:overflowPunct/>
              <w:topLinePunct w:val="0"/>
              <w:autoSpaceDE w:val="0"/>
              <w:autoSpaceDN w:val="0"/>
              <w:bidi w:val="0"/>
              <w:adjustRightInd w:val="0"/>
              <w:snapToGrid w:val="0"/>
              <w:spacing w:line="240" w:lineRule="auto"/>
              <w:ind w:left="14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1.1.6</w:t>
            </w:r>
          </w:p>
        </w:tc>
        <w:tc>
          <w:tcPr>
            <w:tcW w:w="2035" w:type="dxa"/>
            <w:gridSpan w:val="2"/>
            <w:tcBorders>
              <w:bottom w:val="single" w:color="auto" w:sz="4" w:space="0"/>
            </w:tcBorders>
            <w:vAlign w:val="center"/>
          </w:tcPr>
          <w:p w14:paraId="7B89162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5E64C5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3791C8A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63C93B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20A24E2D">
            <w:pPr>
              <w:pStyle w:val="31"/>
              <w:keepNext w:val="0"/>
              <w:keepLines w:val="0"/>
              <w:pageBreakBefore w:val="0"/>
              <w:widowControl/>
              <w:kinsoku/>
              <w:wordWrap/>
              <w:overflowPunct/>
              <w:topLinePunct w:val="0"/>
              <w:autoSpaceDE w:val="0"/>
              <w:autoSpaceDN w:val="0"/>
              <w:bidi w:val="0"/>
              <w:adjustRightInd w:val="0"/>
              <w:snapToGrid w:val="0"/>
              <w:spacing w:line="240" w:lineRule="auto"/>
              <w:ind w:right="372"/>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供应商资质条</w:t>
            </w:r>
            <w:r>
              <w:rPr>
                <w:rFonts w:hint="eastAsia" w:ascii="仿宋" w:hAnsi="仿宋" w:eastAsia="仿宋" w:cs="仿宋"/>
                <w:color w:val="auto"/>
                <w:spacing w:val="-10"/>
                <w:sz w:val="22"/>
                <w:szCs w:val="22"/>
                <w:highlight w:val="none"/>
                <w:lang w:eastAsia="zh-CN"/>
              </w:rPr>
              <w:t>件、能力</w:t>
            </w:r>
          </w:p>
        </w:tc>
        <w:tc>
          <w:tcPr>
            <w:tcW w:w="6490" w:type="dxa"/>
            <w:tcBorders>
              <w:bottom w:val="single" w:color="000000" w:sz="4" w:space="0"/>
            </w:tcBorders>
            <w:vAlign w:val="center"/>
          </w:tcPr>
          <w:p w14:paraId="3E1F82B3">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1"/>
                <w:sz w:val="22"/>
                <w:szCs w:val="22"/>
                <w:highlight w:val="none"/>
                <w:lang w:val="en-US" w:eastAsia="zh-CN"/>
              </w:rPr>
              <w:t>1、</w:t>
            </w:r>
            <w:r>
              <w:rPr>
                <w:rFonts w:hint="eastAsia" w:ascii="仿宋" w:hAnsi="仿宋" w:eastAsia="仿宋" w:cs="仿宋"/>
                <w:color w:val="auto"/>
                <w:spacing w:val="-1"/>
                <w:sz w:val="22"/>
                <w:szCs w:val="22"/>
                <w:highlight w:val="none"/>
                <w:lang w:eastAsia="zh-CN"/>
              </w:rPr>
              <w:t>满足《中华人民共和国政府采购法》第二十二条规</w:t>
            </w:r>
            <w:r>
              <w:rPr>
                <w:rFonts w:hint="eastAsia" w:ascii="仿宋" w:hAnsi="仿宋" w:eastAsia="仿宋" w:cs="仿宋"/>
                <w:color w:val="auto"/>
                <w:spacing w:val="-2"/>
                <w:sz w:val="22"/>
                <w:szCs w:val="22"/>
                <w:highlight w:val="none"/>
                <w:lang w:eastAsia="zh-CN"/>
              </w:rPr>
              <w:t>定：</w:t>
            </w:r>
          </w:p>
          <w:p w14:paraId="178A550A">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具有独立承担民事责任的能力：</w:t>
            </w:r>
            <w:r>
              <w:rPr>
                <w:rFonts w:hint="eastAsia" w:ascii="仿宋" w:hAnsi="仿宋" w:eastAsia="仿宋" w:cs="仿宋"/>
                <w:snapToGrid w:val="0"/>
                <w:color w:val="auto"/>
                <w:sz w:val="22"/>
                <w:szCs w:val="22"/>
                <w:highlight w:val="none"/>
                <w:u w:val="single"/>
                <w:lang w:val="en-US" w:eastAsia="zh-CN" w:bidi="ar-SA"/>
              </w:rPr>
              <w:t>供应商须在中华人民共和国境内注册，具有独立法人资格，持有合法有效的三证合一（营业执照、组织机构代码证、税务登记证）的营业执照（复印件加盖鲜章）</w:t>
            </w:r>
            <w:r>
              <w:rPr>
                <w:rFonts w:hint="eastAsia" w:ascii="仿宋" w:hAnsi="仿宋" w:eastAsia="仿宋" w:cs="仿宋"/>
                <w:color w:val="auto"/>
                <w:spacing w:val="-1"/>
                <w:sz w:val="22"/>
                <w:szCs w:val="22"/>
                <w:highlight w:val="none"/>
                <w:lang w:eastAsia="zh-CN"/>
              </w:rPr>
              <w:t>；</w:t>
            </w:r>
          </w:p>
          <w:p w14:paraId="4504FB23">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具有良好的商业信誉和健全的财务会计制度：</w:t>
            </w:r>
            <w:r>
              <w:rPr>
                <w:rFonts w:hint="eastAsia" w:ascii="仿宋" w:hAnsi="仿宋" w:eastAsia="仿宋" w:cs="仿宋"/>
                <w:snapToGrid w:val="0"/>
                <w:color w:val="auto"/>
                <w:sz w:val="22"/>
                <w:szCs w:val="22"/>
                <w:highlight w:val="none"/>
                <w:u w:val="single"/>
                <w:lang w:val="en-US" w:eastAsia="zh-CN" w:bidi="ar-SA"/>
              </w:rPr>
              <w:t>提供2023年或2024年财务审计报告或基本开户银行出具的资信证明</w:t>
            </w:r>
            <w:r>
              <w:rPr>
                <w:rFonts w:hint="eastAsia" w:ascii="仿宋" w:hAnsi="仿宋" w:eastAsia="仿宋" w:cs="仿宋"/>
                <w:color w:val="auto"/>
                <w:spacing w:val="-1"/>
                <w:sz w:val="22"/>
                <w:szCs w:val="22"/>
                <w:highlight w:val="none"/>
                <w:lang w:val="en-US" w:eastAsia="zh-CN"/>
              </w:rPr>
              <w:t>。</w:t>
            </w:r>
          </w:p>
          <w:p w14:paraId="11BFEF3B">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u w:val="single"/>
                <w:lang w:val="en-US" w:eastAsia="zh-CN"/>
              </w:rPr>
            </w:pPr>
            <w:r>
              <w:rPr>
                <w:rFonts w:hint="eastAsia" w:ascii="仿宋" w:hAnsi="仿宋" w:eastAsia="仿宋" w:cs="仿宋"/>
                <w:b/>
                <w:bCs/>
                <w:color w:val="auto"/>
                <w:spacing w:val="-1"/>
                <w:sz w:val="22"/>
                <w:szCs w:val="22"/>
                <w:highlight w:val="none"/>
                <w:lang w:eastAsia="zh-CN"/>
              </w:rPr>
              <w:t>具有履行合同所必需的设备和专业技术能力</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提供具有履行合同所必需的设备和专业技术能力的相关资料（</w:t>
            </w:r>
            <w:r>
              <w:rPr>
                <w:rFonts w:hint="eastAsia" w:cs="仿宋"/>
                <w:color w:val="auto"/>
                <w:spacing w:val="-1"/>
                <w:sz w:val="22"/>
                <w:szCs w:val="22"/>
                <w:highlight w:val="none"/>
                <w:u w:val="single"/>
                <w:lang w:val="en-US" w:eastAsia="zh-CN"/>
              </w:rPr>
              <w:t>提供承诺函，格式自拟</w:t>
            </w:r>
            <w:r>
              <w:rPr>
                <w:rFonts w:hint="eastAsia" w:ascii="仿宋" w:hAnsi="仿宋" w:eastAsia="仿宋" w:cs="仿宋"/>
                <w:color w:val="auto"/>
                <w:spacing w:val="-1"/>
                <w:sz w:val="22"/>
                <w:szCs w:val="22"/>
                <w:highlight w:val="none"/>
                <w:u w:val="single"/>
                <w:lang w:val="en-US" w:eastAsia="zh-CN"/>
              </w:rPr>
              <w:t>）</w:t>
            </w:r>
            <w:r>
              <w:rPr>
                <w:rFonts w:hint="eastAsia" w:ascii="仿宋" w:hAnsi="仿宋" w:eastAsia="仿宋" w:cs="仿宋"/>
                <w:color w:val="auto"/>
                <w:spacing w:val="-1"/>
                <w:sz w:val="22"/>
                <w:szCs w:val="22"/>
                <w:highlight w:val="none"/>
                <w:lang w:eastAsia="zh-CN"/>
              </w:rPr>
              <w:t>；</w:t>
            </w:r>
          </w:p>
          <w:p w14:paraId="35ED52D0">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有依法缴纳税收和社会保障资金的良好记录</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所属期税款为“0”而无缴纳凭证的，应有经税务机关盖章认可的零申报说明等证明；成立未满 3个月的投标供应商，提供成立之日起至投标截止日止的税收和社会保障资金缴纳凭证。）</w:t>
            </w:r>
          </w:p>
          <w:p w14:paraId="75797C68">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参加政府采购活动前三年内，在经营活动中没有重大违法记录</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val="en-US" w:eastAsia="zh-CN"/>
              </w:rPr>
              <w:t>提供参加政府采购活动前3年内在经营活动中没有重大违法记录的书面声明（</w:t>
            </w:r>
            <w:r>
              <w:rPr>
                <w:rFonts w:hint="eastAsia" w:cs="仿宋"/>
                <w:color w:val="auto"/>
                <w:spacing w:val="-1"/>
                <w:sz w:val="22"/>
                <w:szCs w:val="22"/>
                <w:highlight w:val="none"/>
                <w:u w:val="single"/>
                <w:lang w:val="en-US" w:eastAsia="zh-CN"/>
              </w:rPr>
              <w:t>提供声明函，格式自拟</w:t>
            </w:r>
            <w:r>
              <w:rPr>
                <w:rFonts w:hint="eastAsia" w:ascii="仿宋" w:hAnsi="仿宋" w:eastAsia="仿宋" w:cs="仿宋"/>
                <w:color w:val="auto"/>
                <w:spacing w:val="-1"/>
                <w:sz w:val="22"/>
                <w:szCs w:val="22"/>
                <w:highlight w:val="none"/>
                <w:u w:val="single"/>
                <w:lang w:val="en-US" w:eastAsia="zh-CN"/>
              </w:rPr>
              <w:t>）</w:t>
            </w:r>
          </w:p>
          <w:p w14:paraId="6EC12721">
            <w:pPr>
              <w:pStyle w:val="9"/>
              <w:keepNext w:val="0"/>
              <w:keepLines w:val="0"/>
              <w:pageBreakBefore w:val="0"/>
              <w:widowControl/>
              <w:numPr>
                <w:ilvl w:val="0"/>
                <w:numId w:val="3"/>
              </w:numPr>
              <w:kinsoku/>
              <w:wordWrap/>
              <w:overflowPunct/>
              <w:topLinePunct w:val="0"/>
              <w:autoSpaceDE w:val="0"/>
              <w:autoSpaceDN w:val="0"/>
              <w:bidi w:val="0"/>
              <w:adjustRightInd w:val="0"/>
              <w:snapToGrid w:val="0"/>
              <w:spacing w:before="4" w:after="0" w:afterLines="20" w:line="360" w:lineRule="auto"/>
              <w:ind w:left="192" w:leftChars="0" w:firstLine="438" w:firstLineChars="0"/>
              <w:rPr>
                <w:rFonts w:hint="eastAsia" w:ascii="仿宋" w:hAnsi="仿宋" w:eastAsia="仿宋" w:cs="仿宋"/>
                <w:color w:val="auto"/>
                <w:spacing w:val="-1"/>
                <w:sz w:val="22"/>
                <w:szCs w:val="22"/>
                <w:highlight w:val="none"/>
                <w:lang w:eastAsia="zh-CN"/>
              </w:rPr>
            </w:pPr>
            <w:r>
              <w:rPr>
                <w:rFonts w:hint="eastAsia" w:ascii="仿宋" w:hAnsi="仿宋" w:eastAsia="仿宋" w:cs="仿宋"/>
                <w:b/>
                <w:bCs/>
                <w:color w:val="auto"/>
                <w:spacing w:val="-1"/>
                <w:sz w:val="22"/>
                <w:szCs w:val="22"/>
                <w:highlight w:val="none"/>
                <w:lang w:eastAsia="zh-CN"/>
              </w:rPr>
              <w:t>法律、行政法规规定的其他条件</w:t>
            </w:r>
            <w:r>
              <w:rPr>
                <w:rFonts w:hint="eastAsia" w:ascii="仿宋" w:hAnsi="仿宋" w:eastAsia="仿宋" w:cs="仿宋"/>
                <w:color w:val="auto"/>
                <w:spacing w:val="-1"/>
                <w:sz w:val="22"/>
                <w:szCs w:val="22"/>
                <w:highlight w:val="none"/>
                <w:lang w:eastAsia="zh-CN"/>
              </w:rPr>
              <w:t>：</w:t>
            </w:r>
            <w:r>
              <w:rPr>
                <w:rFonts w:hint="eastAsia" w:ascii="仿宋" w:hAnsi="仿宋" w:eastAsia="仿宋" w:cs="仿宋"/>
                <w:snapToGrid w:val="0"/>
                <w:color w:val="auto"/>
                <w:spacing w:val="-2"/>
                <w:sz w:val="22"/>
                <w:szCs w:val="22"/>
                <w:highlight w:val="none"/>
                <w:u w:val="single"/>
                <w:lang w:val="en-US" w:eastAsia="zh-CN" w:bidi="ar-SA"/>
              </w:rPr>
              <w:t>列入失信被执行人、重大税收违法案件当事人名单、政府采购严重违法失信行为记录名单且还在执行期的投标人，拒绝其参与本次采购活动，查询渠道：“信用中国网、中国政府采购网”网站，</w:t>
            </w:r>
            <w:r>
              <w:rPr>
                <w:rFonts w:hint="eastAsia" w:cs="仿宋"/>
                <w:snapToGrid w:val="0"/>
                <w:color w:val="auto"/>
                <w:spacing w:val="-2"/>
                <w:sz w:val="22"/>
                <w:szCs w:val="22"/>
                <w:highlight w:val="none"/>
                <w:u w:val="singl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color w:val="auto"/>
                <w:spacing w:val="-1"/>
                <w:sz w:val="22"/>
                <w:szCs w:val="22"/>
                <w:highlight w:val="none"/>
                <w:lang w:val="en-US" w:eastAsia="zh-CN"/>
              </w:rPr>
              <w:t>。</w:t>
            </w:r>
          </w:p>
          <w:p w14:paraId="30825D38">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48"/>
                <w:sz w:val="22"/>
                <w:szCs w:val="22"/>
                <w:highlight w:val="none"/>
                <w:lang w:eastAsia="zh-CN"/>
              </w:rPr>
            </w:pPr>
            <w:r>
              <w:rPr>
                <w:rFonts w:hint="eastAsia" w:ascii="仿宋" w:hAnsi="仿宋" w:eastAsia="仿宋" w:cs="仿宋"/>
                <w:b/>
                <w:bCs/>
                <w:color w:val="auto"/>
                <w:spacing w:val="-1"/>
                <w:sz w:val="22"/>
                <w:szCs w:val="22"/>
                <w:highlight w:val="none"/>
                <w:lang w:val="en-US" w:eastAsia="zh-CN"/>
              </w:rPr>
              <w:t>2、</w:t>
            </w:r>
            <w:r>
              <w:rPr>
                <w:rFonts w:hint="eastAsia" w:ascii="仿宋" w:hAnsi="仿宋" w:eastAsia="仿宋" w:cs="仿宋"/>
                <w:b/>
                <w:bCs/>
                <w:color w:val="auto"/>
                <w:spacing w:val="-1"/>
                <w:sz w:val="22"/>
                <w:szCs w:val="22"/>
                <w:highlight w:val="none"/>
                <w:lang w:eastAsia="zh-CN"/>
              </w:rPr>
              <w:t>落实政府采购政策需满足的资格要求</w:t>
            </w:r>
            <w:r>
              <w:rPr>
                <w:rFonts w:hint="eastAsia" w:ascii="仿宋" w:hAnsi="仿宋" w:eastAsia="仿宋" w:cs="仿宋"/>
                <w:color w:val="auto"/>
                <w:spacing w:val="-48"/>
                <w:sz w:val="22"/>
                <w:szCs w:val="22"/>
                <w:highlight w:val="none"/>
                <w:lang w:eastAsia="zh-CN"/>
              </w:rPr>
              <w:t>：</w:t>
            </w:r>
          </w:p>
          <w:p w14:paraId="572556FE">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（1）本项目专门面向中小</w:t>
            </w:r>
            <w:r>
              <w:rPr>
                <w:rFonts w:hint="eastAsia" w:cs="仿宋"/>
                <w:color w:val="auto"/>
                <w:sz w:val="22"/>
                <w:szCs w:val="22"/>
                <w:highlight w:val="none"/>
                <w:u w:val="none"/>
                <w:lang w:val="en-US" w:eastAsia="zh-CN"/>
              </w:rPr>
              <w:t>微</w:t>
            </w:r>
            <w:r>
              <w:rPr>
                <w:rFonts w:hint="eastAsia" w:ascii="仿宋" w:hAnsi="仿宋" w:eastAsia="仿宋" w:cs="仿宋"/>
                <w:color w:val="auto"/>
                <w:sz w:val="22"/>
                <w:szCs w:val="22"/>
                <w:highlight w:val="none"/>
                <w:u w:val="none"/>
                <w:lang w:val="en-US" w:eastAsia="zh-CN"/>
              </w:rPr>
              <w:t>企业采购，不再执行价格扣除。中小企业划分标准依照工业和信息化部、国家统计局、国家发展和改革委员会、财政部联合下发的《关于印发中小企业划型标准规定的通知》（工信部联企业《2011》300号）执行；</w:t>
            </w:r>
          </w:p>
          <w:p w14:paraId="036A59A8">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color w:val="auto"/>
                <w:sz w:val="22"/>
                <w:szCs w:val="22"/>
                <w:highlight w:val="none"/>
                <w:u w:val="none"/>
                <w:lang w:val="en-US" w:eastAsia="zh-CN"/>
              </w:rPr>
              <w:t>（2）对原产地在少数民族自治区和享受少数民族自治待遇的省份（云南、贵州、青海）的投标主产品（不含附带产品），在总得分基础上加3分。投标主产品按照不得低于本采购项目预算金额50%加以确定；</w:t>
            </w:r>
            <w:r>
              <w:rPr>
                <w:rFonts w:hint="eastAsia" w:cs="仿宋"/>
                <w:strike w:val="0"/>
                <w:dstrike/>
                <w:color w:val="auto"/>
                <w:sz w:val="22"/>
                <w:szCs w:val="22"/>
                <w:highlight w:val="none"/>
                <w:u w:val="none"/>
                <w:lang w:val="en-US" w:eastAsia="zh-CN"/>
              </w:rPr>
              <w:t>（本项目为服务采购项目，不适用本条要求）</w:t>
            </w:r>
          </w:p>
          <w:p w14:paraId="64A42175">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color w:val="auto"/>
                <w:sz w:val="22"/>
                <w:szCs w:val="22"/>
                <w:highlight w:val="none"/>
                <w:u w:val="none"/>
                <w:lang w:val="en-US"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w:t>
            </w:r>
            <w:r>
              <w:rPr>
                <w:rFonts w:hint="eastAsia" w:cs="仿宋"/>
                <w:strike w:val="0"/>
                <w:dstrike/>
                <w:color w:val="auto"/>
                <w:sz w:val="22"/>
                <w:szCs w:val="22"/>
                <w:highlight w:val="none"/>
                <w:u w:val="none"/>
                <w:lang w:val="en-US" w:eastAsia="zh-CN"/>
              </w:rPr>
              <w:t>（本项目为服务采购项目，不适用本条要求）</w:t>
            </w:r>
          </w:p>
          <w:p w14:paraId="16977420">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（4）符合条件的残疾人福利性单位视同小型、微型企业在投标中享受同等优惠，但须提供《残疾人福利性单位声明函》，监狱企业视同小型、微型企业（以当地管理部门出具的证明为准）</w:t>
            </w:r>
            <w:r>
              <w:rPr>
                <w:rFonts w:hint="eastAsia" w:cs="仿宋"/>
                <w:color w:val="auto"/>
                <w:sz w:val="22"/>
                <w:szCs w:val="22"/>
                <w:highlight w:val="none"/>
                <w:u w:val="none"/>
                <w:lang w:val="en-US" w:eastAsia="zh-CN"/>
              </w:rPr>
              <w:t>。</w:t>
            </w:r>
          </w:p>
          <w:p w14:paraId="3FB14BB7">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注：残疾人福利性单位属于中小企业的，不重复享受政策</w:t>
            </w:r>
            <w:r>
              <w:rPr>
                <w:rFonts w:hint="eastAsia" w:cs="仿宋"/>
                <w:color w:val="auto"/>
                <w:sz w:val="22"/>
                <w:szCs w:val="22"/>
                <w:highlight w:val="none"/>
                <w:u w:val="none"/>
                <w:lang w:val="en-US" w:eastAsia="zh-CN"/>
              </w:rPr>
              <w:t>。</w:t>
            </w:r>
          </w:p>
          <w:p w14:paraId="714CB42B">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（本项目专门面向中小微企业采购，供应商应为中小微企业、监狱企业、残疾人福利性单位,提供中小企业声明函）</w:t>
            </w:r>
          </w:p>
          <w:p w14:paraId="47DD9B16">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19"/>
                <w:sz w:val="22"/>
                <w:szCs w:val="22"/>
                <w:highlight w:val="none"/>
                <w:u w:val="single"/>
                <w:lang w:val="en-US" w:eastAsia="zh-CN"/>
              </w:rPr>
            </w:pPr>
            <w:r>
              <w:rPr>
                <w:rFonts w:hint="eastAsia" w:ascii="仿宋" w:hAnsi="仿宋" w:eastAsia="仿宋" w:cs="仿宋"/>
                <w:color w:val="auto"/>
                <w:sz w:val="22"/>
                <w:szCs w:val="22"/>
                <w:highlight w:val="none"/>
                <w:u w:val="none"/>
                <w:lang w:eastAsia="zh-CN"/>
              </w:rPr>
              <w:t>3.</w:t>
            </w:r>
            <w:r>
              <w:rPr>
                <w:rFonts w:hint="eastAsia" w:ascii="仿宋" w:hAnsi="仿宋" w:eastAsia="仿宋" w:cs="仿宋"/>
                <w:b/>
                <w:bCs/>
                <w:color w:val="auto"/>
                <w:sz w:val="22"/>
                <w:szCs w:val="22"/>
                <w:highlight w:val="none"/>
                <w:u w:val="none"/>
                <w:lang w:eastAsia="zh-CN"/>
              </w:rPr>
              <w:t>本项目的特定资格要求</w:t>
            </w:r>
            <w:r>
              <w:rPr>
                <w:rFonts w:hint="eastAsia" w:ascii="仿宋" w:hAnsi="仿宋" w:eastAsia="仿宋" w:cs="仿宋"/>
                <w:color w:val="auto"/>
                <w:sz w:val="22"/>
                <w:szCs w:val="22"/>
                <w:highlight w:val="none"/>
                <w:u w:val="none"/>
                <w:lang w:eastAsia="zh-CN"/>
              </w:rPr>
              <w:t>：</w:t>
            </w:r>
            <w:r>
              <w:rPr>
                <w:rFonts w:hint="eastAsia" w:cs="仿宋"/>
                <w:b w:val="0"/>
                <w:bCs w:val="0"/>
                <w:color w:val="auto"/>
                <w:sz w:val="22"/>
                <w:szCs w:val="22"/>
                <w:highlight w:val="none"/>
                <w:u w:val="single"/>
                <w:lang w:val="en-US" w:eastAsia="zh-CN"/>
              </w:rPr>
              <w:t xml:space="preserve"> </w:t>
            </w:r>
            <w:r>
              <w:rPr>
                <w:rFonts w:hint="eastAsia" w:cs="仿宋"/>
                <w:b w:val="0"/>
                <w:bCs w:val="0"/>
                <w:color w:val="auto"/>
                <w:sz w:val="22"/>
                <w:szCs w:val="22"/>
                <w:highlight w:val="none"/>
                <w:u w:val="single"/>
                <w:lang w:val="en-US" w:eastAsia="zh-CN"/>
              </w:rPr>
              <w:t>投标人须具备食品经营许可证或食品经营备案证明</w:t>
            </w:r>
            <w:r>
              <w:rPr>
                <w:rFonts w:hint="eastAsia" w:cs="仿宋"/>
                <w:b w:val="0"/>
                <w:bCs w:val="0"/>
                <w:color w:val="auto"/>
                <w:sz w:val="22"/>
                <w:szCs w:val="22"/>
                <w:highlight w:val="none"/>
                <w:u w:val="single"/>
                <w:lang w:val="en-US" w:eastAsia="zh-CN"/>
              </w:rPr>
              <w:t xml:space="preserve"> </w:t>
            </w:r>
            <w:r>
              <w:rPr>
                <w:rFonts w:hint="eastAsia" w:ascii="仿宋" w:hAnsi="仿宋" w:eastAsia="仿宋" w:cs="仿宋"/>
                <w:b/>
                <w:bCs/>
                <w:color w:val="auto"/>
                <w:sz w:val="22"/>
                <w:szCs w:val="22"/>
                <w:highlight w:val="none"/>
                <w:u w:val="none"/>
                <w:lang w:val="en-US" w:eastAsia="zh-CN"/>
              </w:rPr>
              <w:t xml:space="preserve"> </w:t>
            </w:r>
            <w:r>
              <w:rPr>
                <w:rFonts w:hint="eastAsia" w:ascii="仿宋" w:hAnsi="仿宋" w:eastAsia="仿宋" w:cs="仿宋"/>
                <w:color w:val="auto"/>
                <w:sz w:val="22"/>
                <w:szCs w:val="22"/>
                <w:highlight w:val="none"/>
                <w:u w:val="none"/>
                <w:lang w:eastAsia="zh-CN"/>
              </w:rPr>
              <w:t>。</w:t>
            </w:r>
          </w:p>
        </w:tc>
      </w:tr>
      <w:tr w14:paraId="43978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gridSpan w:val="2"/>
            <w:vAlign w:val="center"/>
          </w:tcPr>
          <w:p w14:paraId="0686C582">
            <w:pPr>
              <w:pStyle w:val="31"/>
              <w:keepNext w:val="0"/>
              <w:keepLines w:val="0"/>
              <w:pageBreakBefore w:val="0"/>
              <w:widowControl/>
              <w:kinsoku/>
              <w:wordWrap/>
              <w:overflowPunct/>
              <w:topLinePunct w:val="0"/>
              <w:autoSpaceDE w:val="0"/>
              <w:autoSpaceDN w:val="0"/>
              <w:bidi w:val="0"/>
              <w:adjustRightInd w:val="0"/>
              <w:snapToGrid w:val="0"/>
              <w:spacing w:line="240" w:lineRule="auto"/>
              <w:ind w:left="13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1.2.1</w:t>
            </w:r>
          </w:p>
        </w:tc>
        <w:tc>
          <w:tcPr>
            <w:tcW w:w="2037" w:type="dxa"/>
            <w:gridSpan w:val="2"/>
            <w:tcBorders>
              <w:top w:val="single" w:color="auto" w:sz="4" w:space="0"/>
            </w:tcBorders>
            <w:vAlign w:val="center"/>
          </w:tcPr>
          <w:p w14:paraId="0E56B7ED">
            <w:pPr>
              <w:pStyle w:val="31"/>
              <w:keepNext w:val="0"/>
              <w:keepLines w:val="0"/>
              <w:pageBreakBefore w:val="0"/>
              <w:widowControl/>
              <w:kinsoku/>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投标报价</w:t>
            </w:r>
          </w:p>
        </w:tc>
        <w:tc>
          <w:tcPr>
            <w:tcW w:w="6507" w:type="dxa"/>
            <w:gridSpan w:val="4"/>
            <w:vAlign w:val="center"/>
          </w:tcPr>
          <w:p w14:paraId="1C2BFE79">
            <w:pPr>
              <w:pStyle w:val="31"/>
              <w:keepNext w:val="0"/>
              <w:keepLines w:val="0"/>
              <w:pageBreakBefore w:val="0"/>
              <w:widowControl/>
              <w:numPr>
                <w:ilvl w:val="0"/>
                <w:numId w:val="4"/>
              </w:numPr>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pacing w:val="9"/>
                <w:sz w:val="22"/>
                <w:szCs w:val="22"/>
                <w:highlight w:val="none"/>
                <w:lang w:val="en-US" w:eastAsia="zh-CN"/>
              </w:rPr>
            </w:pPr>
            <w:r>
              <w:rPr>
                <w:rFonts w:hint="eastAsia" w:ascii="仿宋" w:hAnsi="仿宋" w:eastAsia="仿宋" w:cs="仿宋"/>
                <w:color w:val="auto"/>
                <w:spacing w:val="9"/>
                <w:sz w:val="22"/>
                <w:szCs w:val="22"/>
                <w:highlight w:val="none"/>
                <w:lang w:val="en-US" w:eastAsia="zh-CN"/>
              </w:rPr>
              <w:t>供应商投标报价不得超过最高投标限价，否则按无效投标处理。</w:t>
            </w:r>
          </w:p>
          <w:p w14:paraId="0471ABF1">
            <w:pPr>
              <w:pStyle w:val="31"/>
              <w:keepNext w:val="0"/>
              <w:keepLines w:val="0"/>
              <w:pageBreakBefore w:val="0"/>
              <w:widowControl/>
              <w:numPr>
                <w:ilvl w:val="0"/>
                <w:numId w:val="4"/>
              </w:numPr>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供应商的投标报价包含</w:t>
            </w:r>
            <w:r>
              <w:rPr>
                <w:rFonts w:hint="eastAsia" w:ascii="仿宋" w:hAnsi="仿宋" w:eastAsia="仿宋" w:cs="仿宋"/>
                <w:color w:val="auto"/>
                <w:spacing w:val="9"/>
                <w:sz w:val="22"/>
                <w:szCs w:val="22"/>
                <w:highlight w:val="none"/>
                <w:lang w:val="en-US" w:eastAsia="zh-CN"/>
              </w:rPr>
              <w:t>项目服务过程中所发生的一切费用，采购人不在额外支付。</w:t>
            </w:r>
          </w:p>
        </w:tc>
      </w:tr>
      <w:tr w14:paraId="6A26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845" w:type="dxa"/>
            <w:vAlign w:val="center"/>
          </w:tcPr>
          <w:p w14:paraId="0EB775E5">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1.2.2</w:t>
            </w:r>
          </w:p>
        </w:tc>
        <w:tc>
          <w:tcPr>
            <w:tcW w:w="2042" w:type="dxa"/>
            <w:gridSpan w:val="3"/>
            <w:vAlign w:val="center"/>
          </w:tcPr>
          <w:p w14:paraId="21B01BD1">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采购最高限价</w:t>
            </w:r>
          </w:p>
        </w:tc>
        <w:tc>
          <w:tcPr>
            <w:tcW w:w="6502" w:type="dxa"/>
            <w:gridSpan w:val="3"/>
            <w:vAlign w:val="center"/>
          </w:tcPr>
          <w:p w14:paraId="7567464E">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最高投标限价总价：</w:t>
            </w:r>
            <w:r>
              <w:rPr>
                <w:rFonts w:hint="eastAsia" w:cs="仿宋"/>
                <w:color w:val="auto"/>
                <w:sz w:val="22"/>
                <w:szCs w:val="22"/>
                <w:highlight w:val="none"/>
                <w:lang w:val="en-US" w:eastAsia="zh-CN"/>
              </w:rPr>
              <w:t>120万元/年</w:t>
            </w:r>
          </w:p>
        </w:tc>
      </w:tr>
      <w:tr w14:paraId="11620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3" w:hRule="atLeast"/>
        </w:trPr>
        <w:tc>
          <w:tcPr>
            <w:tcW w:w="845" w:type="dxa"/>
            <w:vAlign w:val="center"/>
          </w:tcPr>
          <w:p w14:paraId="7641BE34">
            <w:pPr>
              <w:pStyle w:val="31"/>
              <w:keepNext w:val="0"/>
              <w:keepLines w:val="0"/>
              <w:pageBreakBefore w:val="0"/>
              <w:widowControl/>
              <w:kinsoku/>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1.3.1</w:t>
            </w:r>
          </w:p>
        </w:tc>
        <w:tc>
          <w:tcPr>
            <w:tcW w:w="2042" w:type="dxa"/>
            <w:gridSpan w:val="3"/>
            <w:vAlign w:val="center"/>
          </w:tcPr>
          <w:p w14:paraId="5D491DEC">
            <w:pPr>
              <w:pStyle w:val="31"/>
              <w:keepNext w:val="0"/>
              <w:keepLines w:val="0"/>
              <w:pageBreakBefore w:val="0"/>
              <w:widowControl/>
              <w:kinsoku/>
              <w:wordWrap/>
              <w:overflowPunct/>
              <w:topLinePunct w:val="0"/>
              <w:autoSpaceDE w:val="0"/>
              <w:autoSpaceDN w:val="0"/>
              <w:bidi w:val="0"/>
              <w:adjustRightInd w:val="0"/>
              <w:snapToGrid w:val="0"/>
              <w:spacing w:line="240" w:lineRule="auto"/>
              <w:ind w:left="53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项目内容</w:t>
            </w:r>
          </w:p>
        </w:tc>
        <w:tc>
          <w:tcPr>
            <w:tcW w:w="6502" w:type="dxa"/>
            <w:gridSpan w:val="3"/>
            <w:vAlign w:val="center"/>
          </w:tcPr>
          <w:p w14:paraId="1290239F">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rPr>
            </w:pPr>
            <w:r>
              <w:rPr>
                <w:rFonts w:hint="eastAsia" w:cs="仿宋"/>
                <w:color w:val="auto"/>
                <w:spacing w:val="-1"/>
                <w:sz w:val="22"/>
                <w:szCs w:val="22"/>
                <w:highlight w:val="none"/>
                <w:u w:val="single"/>
                <w:lang w:val="en-US" w:eastAsia="zh-CN"/>
              </w:rPr>
              <w:t>采购茅台镇机关食堂服务，含全镇干部职工早餐、中餐、晚餐及接待用餐</w:t>
            </w:r>
            <w:r>
              <w:rPr>
                <w:rFonts w:hint="eastAsia" w:ascii="仿宋" w:hAnsi="仿宋" w:eastAsia="仿宋" w:cs="仿宋"/>
                <w:color w:val="auto"/>
                <w:spacing w:val="-1"/>
                <w:sz w:val="22"/>
                <w:szCs w:val="22"/>
                <w:highlight w:val="none"/>
                <w:u w:val="single"/>
                <w:lang w:val="en-US" w:eastAsia="zh-CN"/>
              </w:rPr>
              <w:t>（详见采购清单）</w:t>
            </w:r>
            <w:r>
              <w:rPr>
                <w:rFonts w:hint="eastAsia" w:cs="仿宋"/>
                <w:color w:val="auto"/>
                <w:spacing w:val="-1"/>
                <w:sz w:val="22"/>
                <w:szCs w:val="22"/>
                <w:highlight w:val="none"/>
                <w:u w:val="single"/>
                <w:lang w:val="en-US" w:eastAsia="zh-CN"/>
              </w:rPr>
              <w:t>。</w:t>
            </w:r>
          </w:p>
        </w:tc>
      </w:tr>
      <w:tr w14:paraId="595E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80" w:hRule="atLeast"/>
        </w:trPr>
        <w:tc>
          <w:tcPr>
            <w:tcW w:w="845" w:type="dxa"/>
            <w:vAlign w:val="center"/>
          </w:tcPr>
          <w:p w14:paraId="0699275C">
            <w:pPr>
              <w:pStyle w:val="31"/>
              <w:keepNext w:val="0"/>
              <w:keepLines w:val="0"/>
              <w:pageBreakBefore w:val="0"/>
              <w:widowControl/>
              <w:kinsoku/>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1.3.2</w:t>
            </w:r>
          </w:p>
        </w:tc>
        <w:tc>
          <w:tcPr>
            <w:tcW w:w="2042" w:type="dxa"/>
            <w:gridSpan w:val="3"/>
            <w:vAlign w:val="center"/>
          </w:tcPr>
          <w:p w14:paraId="257E13FA">
            <w:pPr>
              <w:pStyle w:val="31"/>
              <w:keepNext w:val="0"/>
              <w:keepLines w:val="0"/>
              <w:pageBreakBefore w:val="0"/>
              <w:widowControl/>
              <w:kinsoku/>
              <w:wordWrap/>
              <w:overflowPunct/>
              <w:topLinePunct w:val="0"/>
              <w:autoSpaceDE w:val="0"/>
              <w:autoSpaceDN w:val="0"/>
              <w:bidi w:val="0"/>
              <w:adjustRightInd w:val="0"/>
              <w:snapToGrid w:val="0"/>
              <w:spacing w:line="240" w:lineRule="auto"/>
              <w:ind w:left="656"/>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服务期</w:t>
            </w:r>
          </w:p>
        </w:tc>
        <w:tc>
          <w:tcPr>
            <w:tcW w:w="6502" w:type="dxa"/>
            <w:gridSpan w:val="3"/>
            <w:vAlign w:val="center"/>
          </w:tcPr>
          <w:p w14:paraId="16771C4B">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cs="仿宋"/>
                <w:color w:val="auto"/>
                <w:spacing w:val="-2"/>
                <w:sz w:val="22"/>
                <w:szCs w:val="22"/>
                <w:highlight w:val="none"/>
                <w:lang w:val="en-US" w:eastAsia="zh-CN"/>
              </w:rPr>
              <w:t>服务期2年（服务合同1年1签，1年1考核）。</w:t>
            </w:r>
          </w:p>
        </w:tc>
      </w:tr>
      <w:tr w14:paraId="066C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2" w:hRule="atLeast"/>
        </w:trPr>
        <w:tc>
          <w:tcPr>
            <w:tcW w:w="845" w:type="dxa"/>
            <w:vAlign w:val="center"/>
          </w:tcPr>
          <w:p w14:paraId="0AEE4AD0">
            <w:pPr>
              <w:pStyle w:val="31"/>
              <w:keepNext w:val="0"/>
              <w:keepLines w:val="0"/>
              <w:pageBreakBefore w:val="0"/>
              <w:widowControl/>
              <w:kinsoku/>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1.3.3</w:t>
            </w:r>
          </w:p>
        </w:tc>
        <w:tc>
          <w:tcPr>
            <w:tcW w:w="2042" w:type="dxa"/>
            <w:gridSpan w:val="3"/>
            <w:vAlign w:val="center"/>
          </w:tcPr>
          <w:p w14:paraId="4D971F06">
            <w:pPr>
              <w:pStyle w:val="31"/>
              <w:keepNext w:val="0"/>
              <w:keepLines w:val="0"/>
              <w:pageBreakBefore w:val="0"/>
              <w:widowControl/>
              <w:kinsoku/>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验收标准、规范</w:t>
            </w:r>
          </w:p>
        </w:tc>
        <w:tc>
          <w:tcPr>
            <w:tcW w:w="6502" w:type="dxa"/>
            <w:gridSpan w:val="3"/>
            <w:vAlign w:val="center"/>
          </w:tcPr>
          <w:p w14:paraId="41D6D6B4">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val="en-US" w:eastAsia="zh-CN"/>
              </w:rPr>
              <w:t>执行有关机构最新颁布的国家标准和规范及采购人的标准</w:t>
            </w:r>
            <w:r>
              <w:rPr>
                <w:rFonts w:hint="eastAsia" w:ascii="仿宋" w:hAnsi="仿宋" w:eastAsia="仿宋" w:cs="仿宋"/>
                <w:color w:val="auto"/>
                <w:spacing w:val="-1"/>
                <w:sz w:val="22"/>
                <w:szCs w:val="22"/>
                <w:highlight w:val="none"/>
                <w:lang w:val="en-US" w:eastAsia="zh-CN"/>
              </w:rPr>
              <w:t>。</w:t>
            </w:r>
          </w:p>
        </w:tc>
      </w:tr>
      <w:tr w14:paraId="0EFD1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11258D1F">
            <w:pPr>
              <w:pStyle w:val="31"/>
              <w:keepNext w:val="0"/>
              <w:keepLines w:val="0"/>
              <w:pageBreakBefore w:val="0"/>
              <w:widowControl/>
              <w:kinsoku/>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1.3.4</w:t>
            </w:r>
          </w:p>
        </w:tc>
        <w:tc>
          <w:tcPr>
            <w:tcW w:w="2042" w:type="dxa"/>
            <w:gridSpan w:val="3"/>
            <w:vAlign w:val="center"/>
          </w:tcPr>
          <w:p w14:paraId="5E189044">
            <w:pPr>
              <w:pStyle w:val="31"/>
              <w:keepNext w:val="0"/>
              <w:keepLines w:val="0"/>
              <w:pageBreakBefore w:val="0"/>
              <w:widowControl/>
              <w:kinsoku/>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服务地点</w:t>
            </w:r>
          </w:p>
        </w:tc>
        <w:tc>
          <w:tcPr>
            <w:tcW w:w="6502" w:type="dxa"/>
            <w:gridSpan w:val="3"/>
            <w:vAlign w:val="center"/>
          </w:tcPr>
          <w:p w14:paraId="6AE45CDC">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采购人指定地点。</w:t>
            </w:r>
          </w:p>
        </w:tc>
      </w:tr>
      <w:tr w14:paraId="13F53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03" w:hRule="atLeast"/>
        </w:trPr>
        <w:tc>
          <w:tcPr>
            <w:tcW w:w="845" w:type="dxa"/>
            <w:vAlign w:val="center"/>
          </w:tcPr>
          <w:p w14:paraId="2791AF2D">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2.2.1</w:t>
            </w:r>
          </w:p>
        </w:tc>
        <w:tc>
          <w:tcPr>
            <w:tcW w:w="2042" w:type="dxa"/>
            <w:gridSpan w:val="3"/>
            <w:vAlign w:val="center"/>
          </w:tcPr>
          <w:p w14:paraId="194E5F55">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采购人澄清的时间</w:t>
            </w:r>
          </w:p>
        </w:tc>
        <w:tc>
          <w:tcPr>
            <w:tcW w:w="6502" w:type="dxa"/>
            <w:gridSpan w:val="3"/>
            <w:vAlign w:val="center"/>
          </w:tcPr>
          <w:p w14:paraId="175F6C2E">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w:t>
            </w:r>
            <w:r>
              <w:rPr>
                <w:rFonts w:hint="eastAsia" w:ascii="仿宋" w:hAnsi="仿宋" w:eastAsia="仿宋" w:cs="仿宋"/>
                <w:color w:val="auto"/>
                <w:spacing w:val="7"/>
                <w:sz w:val="22"/>
                <w:szCs w:val="22"/>
                <w:highlight w:val="none"/>
                <w:lang w:eastAsia="zh-CN"/>
              </w:rPr>
              <w:t>件在遵义市公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1068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247" w:hRule="atLeast"/>
        </w:trPr>
        <w:tc>
          <w:tcPr>
            <w:tcW w:w="845" w:type="dxa"/>
            <w:vAlign w:val="center"/>
          </w:tcPr>
          <w:p w14:paraId="41FD7BFE">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2.2.2</w:t>
            </w:r>
          </w:p>
        </w:tc>
        <w:tc>
          <w:tcPr>
            <w:tcW w:w="2042" w:type="dxa"/>
            <w:gridSpan w:val="3"/>
            <w:vAlign w:val="center"/>
          </w:tcPr>
          <w:p w14:paraId="5BE6F50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36D9724A">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供应商提出问题的</w:t>
            </w:r>
            <w:r>
              <w:rPr>
                <w:rFonts w:hint="eastAsia" w:ascii="仿宋" w:hAnsi="仿宋" w:eastAsia="仿宋" w:cs="仿宋"/>
                <w:color w:val="auto"/>
                <w:spacing w:val="3"/>
                <w:sz w:val="22"/>
                <w:szCs w:val="22"/>
                <w:highlight w:val="none"/>
                <w:lang w:eastAsia="zh-CN"/>
              </w:rPr>
              <w:t>截止时间</w:t>
            </w:r>
          </w:p>
        </w:tc>
        <w:tc>
          <w:tcPr>
            <w:tcW w:w="6502" w:type="dxa"/>
            <w:gridSpan w:val="3"/>
            <w:vAlign w:val="center"/>
          </w:tcPr>
          <w:p w14:paraId="5BD1EEED">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供应商应仔细阅读和检查竞争性磋商文件的全部内</w:t>
            </w:r>
            <w:r>
              <w:rPr>
                <w:rFonts w:hint="eastAsia" w:ascii="仿宋" w:hAnsi="仿宋" w:eastAsia="仿宋" w:cs="仿宋"/>
                <w:color w:val="auto"/>
                <w:spacing w:val="8"/>
                <w:sz w:val="22"/>
                <w:szCs w:val="22"/>
                <w:highlight w:val="none"/>
                <w:lang w:eastAsia="zh-CN"/>
              </w:rPr>
              <w:t>容。如</w:t>
            </w:r>
            <w:r>
              <w:rPr>
                <w:rFonts w:hint="eastAsia" w:ascii="仿宋" w:hAnsi="仿宋" w:eastAsia="仿宋" w:cs="仿宋"/>
                <w:color w:val="auto"/>
                <w:spacing w:val="4"/>
                <w:sz w:val="22"/>
                <w:szCs w:val="22"/>
                <w:highlight w:val="none"/>
                <w:lang w:eastAsia="zh-CN"/>
              </w:rPr>
              <w:t>发现缺页或附件不全，应及时向采购人提出，以便补齐，</w:t>
            </w:r>
            <w:r>
              <w:rPr>
                <w:rFonts w:hint="eastAsia" w:ascii="仿宋" w:hAnsi="仿宋" w:eastAsia="仿宋" w:cs="仿宋"/>
                <w:color w:val="auto"/>
                <w:spacing w:val="-5"/>
                <w:sz w:val="22"/>
                <w:szCs w:val="22"/>
                <w:highlight w:val="none"/>
                <w:lang w:eastAsia="zh-CN"/>
              </w:rPr>
              <w:t>应在投标截止时间</w:t>
            </w:r>
            <w:r>
              <w:rPr>
                <w:rFonts w:hint="eastAsia" w:ascii="仿宋" w:hAnsi="仿宋" w:eastAsia="仿宋" w:cs="仿宋"/>
                <w:color w:val="auto"/>
                <w:spacing w:val="50"/>
                <w:sz w:val="22"/>
                <w:szCs w:val="22"/>
                <w:highlight w:val="none"/>
                <w:lang w:eastAsia="zh-CN"/>
              </w:rPr>
              <w:t>5</w:t>
            </w:r>
            <w:r>
              <w:rPr>
                <w:rFonts w:hint="eastAsia" w:ascii="仿宋" w:hAnsi="仿宋" w:eastAsia="仿宋" w:cs="仿宋"/>
                <w:color w:val="auto"/>
                <w:spacing w:val="-5"/>
                <w:sz w:val="22"/>
                <w:szCs w:val="22"/>
                <w:highlight w:val="none"/>
                <w:lang w:eastAsia="zh-CN"/>
              </w:rPr>
              <w:t>日前（即</w:t>
            </w:r>
            <w:r>
              <w:rPr>
                <w:rFonts w:hint="eastAsia"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日前）通过</w:t>
            </w:r>
            <w:r>
              <w:rPr>
                <w:rFonts w:hint="eastAsia" w:ascii="仿宋" w:hAnsi="仿宋" w:eastAsia="仿宋" w:cs="仿宋"/>
                <w:color w:val="auto"/>
                <w:spacing w:val="8"/>
                <w:sz w:val="22"/>
                <w:szCs w:val="22"/>
                <w:highlight w:val="none"/>
                <w:lang w:eastAsia="zh-CN"/>
              </w:rPr>
              <w:t>遵义市公共资源电子交易服务系统向采购人提出。</w:t>
            </w:r>
          </w:p>
        </w:tc>
      </w:tr>
      <w:tr w14:paraId="7D766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4" w:hRule="atLeast"/>
        </w:trPr>
        <w:tc>
          <w:tcPr>
            <w:tcW w:w="845" w:type="dxa"/>
            <w:vAlign w:val="center"/>
          </w:tcPr>
          <w:p w14:paraId="39D66719">
            <w:pPr>
              <w:pStyle w:val="31"/>
              <w:keepNext w:val="0"/>
              <w:keepLines w:val="0"/>
              <w:pageBreakBefore w:val="0"/>
              <w:widowControl/>
              <w:kinsoku/>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2.2.3</w:t>
            </w:r>
          </w:p>
        </w:tc>
        <w:tc>
          <w:tcPr>
            <w:tcW w:w="2042" w:type="dxa"/>
            <w:gridSpan w:val="3"/>
            <w:vAlign w:val="center"/>
          </w:tcPr>
          <w:p w14:paraId="74D3DF50">
            <w:pPr>
              <w:pStyle w:val="31"/>
              <w:keepNext w:val="0"/>
              <w:keepLines w:val="0"/>
              <w:pageBreakBefore w:val="0"/>
              <w:widowControl/>
              <w:kinsoku/>
              <w:wordWrap/>
              <w:overflowPunct/>
              <w:topLinePunct w:val="0"/>
              <w:autoSpaceDE w:val="0"/>
              <w:autoSpaceDN w:val="0"/>
              <w:bidi w:val="0"/>
              <w:adjustRightInd w:val="0"/>
              <w:snapToGrid w:val="0"/>
              <w:spacing w:line="240" w:lineRule="auto"/>
              <w:ind w:left="28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5149A9C7">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0"/>
                <w:sz w:val="22"/>
                <w:szCs w:val="22"/>
                <w:highlight w:val="none"/>
              </w:rPr>
              <w:t>详见媒体公告</w:t>
            </w:r>
          </w:p>
        </w:tc>
      </w:tr>
      <w:tr w14:paraId="1B261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78" w:hRule="atLeast"/>
        </w:trPr>
        <w:tc>
          <w:tcPr>
            <w:tcW w:w="845" w:type="dxa"/>
            <w:vAlign w:val="center"/>
          </w:tcPr>
          <w:p w14:paraId="69E52878">
            <w:pPr>
              <w:pStyle w:val="31"/>
              <w:keepNext w:val="0"/>
              <w:keepLines w:val="0"/>
              <w:pageBreakBefore w:val="0"/>
              <w:widowControl/>
              <w:kinsoku/>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2.2.4</w:t>
            </w:r>
          </w:p>
        </w:tc>
        <w:tc>
          <w:tcPr>
            <w:tcW w:w="2042" w:type="dxa"/>
            <w:gridSpan w:val="3"/>
            <w:vAlign w:val="center"/>
          </w:tcPr>
          <w:p w14:paraId="0A41761E">
            <w:pPr>
              <w:pStyle w:val="31"/>
              <w:keepNext w:val="0"/>
              <w:keepLines w:val="0"/>
              <w:pageBreakBefore w:val="0"/>
              <w:widowControl/>
              <w:kinsoku/>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件澄清的方式</w:t>
            </w:r>
          </w:p>
        </w:tc>
        <w:tc>
          <w:tcPr>
            <w:tcW w:w="6502" w:type="dxa"/>
            <w:gridSpan w:val="3"/>
            <w:vAlign w:val="center"/>
          </w:tcPr>
          <w:p w14:paraId="7CFC08E6">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采购人将在投标截止时间5天前将澄清文件在遵</w:t>
            </w:r>
            <w:r>
              <w:rPr>
                <w:rFonts w:hint="eastAsia" w:ascii="仿宋" w:hAnsi="仿宋" w:eastAsia="仿宋" w:cs="仿宋"/>
                <w:color w:val="auto"/>
                <w:spacing w:val="7"/>
                <w:sz w:val="22"/>
                <w:szCs w:val="22"/>
                <w:highlight w:val="none"/>
                <w:lang w:eastAsia="zh-CN"/>
              </w:rPr>
              <w:t>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74C2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128" w:hRule="atLeast"/>
        </w:trPr>
        <w:tc>
          <w:tcPr>
            <w:tcW w:w="845" w:type="dxa"/>
            <w:vAlign w:val="center"/>
          </w:tcPr>
          <w:p w14:paraId="7BDA7678">
            <w:pPr>
              <w:pStyle w:val="31"/>
              <w:keepNext w:val="0"/>
              <w:keepLines w:val="0"/>
              <w:pageBreakBefore w:val="0"/>
              <w:widowControl/>
              <w:kinsoku/>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2.3.1</w:t>
            </w:r>
          </w:p>
        </w:tc>
        <w:tc>
          <w:tcPr>
            <w:tcW w:w="2042" w:type="dxa"/>
            <w:gridSpan w:val="3"/>
            <w:vAlign w:val="center"/>
          </w:tcPr>
          <w:p w14:paraId="2831C6D9">
            <w:pPr>
              <w:pStyle w:val="31"/>
              <w:keepNext w:val="0"/>
              <w:keepLines w:val="0"/>
              <w:pageBreakBefore w:val="0"/>
              <w:widowControl/>
              <w:kinsoku/>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件修改的方式</w:t>
            </w:r>
          </w:p>
        </w:tc>
        <w:tc>
          <w:tcPr>
            <w:tcW w:w="6502" w:type="dxa"/>
            <w:gridSpan w:val="3"/>
            <w:vAlign w:val="center"/>
          </w:tcPr>
          <w:p w14:paraId="105BD6D3">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采购人将在投标截止时间5天前将采购文件的修</w:t>
            </w:r>
            <w:r>
              <w:rPr>
                <w:rFonts w:hint="eastAsia" w:ascii="仿宋" w:hAnsi="仿宋" w:eastAsia="仿宋" w:cs="仿宋"/>
                <w:color w:val="auto"/>
                <w:spacing w:val="7"/>
                <w:sz w:val="22"/>
                <w:szCs w:val="22"/>
                <w:highlight w:val="none"/>
                <w:lang w:eastAsia="zh-CN"/>
              </w:rPr>
              <w:t>改内容</w:t>
            </w:r>
            <w:r>
              <w:rPr>
                <w:rFonts w:hint="eastAsia" w:ascii="仿宋" w:hAnsi="仿宋" w:eastAsia="仿宋" w:cs="仿宋"/>
                <w:color w:val="auto"/>
                <w:spacing w:val="9"/>
                <w:sz w:val="22"/>
                <w:szCs w:val="22"/>
                <w:highlight w:val="none"/>
                <w:lang w:eastAsia="zh-CN"/>
              </w:rPr>
              <w:t>在遵义市公共资源电子交易服务系统上公布，供应商</w:t>
            </w:r>
            <w:r>
              <w:rPr>
                <w:rFonts w:hint="eastAsia" w:ascii="仿宋" w:hAnsi="仿宋" w:eastAsia="仿宋" w:cs="仿宋"/>
                <w:color w:val="auto"/>
                <w:spacing w:val="8"/>
                <w:sz w:val="22"/>
                <w:szCs w:val="22"/>
                <w:highlight w:val="none"/>
                <w:lang w:eastAsia="zh-CN"/>
              </w:rPr>
              <w:t>自行登</w:t>
            </w:r>
            <w:r>
              <w:rPr>
                <w:rFonts w:hint="eastAsia" w:ascii="仿宋" w:hAnsi="仿宋" w:eastAsia="仿宋" w:cs="仿宋"/>
                <w:color w:val="auto"/>
                <w:spacing w:val="5"/>
                <w:sz w:val="22"/>
                <w:szCs w:val="22"/>
                <w:highlight w:val="none"/>
                <w:lang w:eastAsia="zh-CN"/>
              </w:rPr>
              <w:t>陆系统查阅或下载。</w:t>
            </w:r>
          </w:p>
        </w:tc>
      </w:tr>
      <w:tr w14:paraId="46163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04" w:hRule="atLeast"/>
        </w:trPr>
        <w:tc>
          <w:tcPr>
            <w:tcW w:w="845" w:type="dxa"/>
            <w:vAlign w:val="center"/>
          </w:tcPr>
          <w:p w14:paraId="7269603E">
            <w:pPr>
              <w:pStyle w:val="31"/>
              <w:keepNext w:val="0"/>
              <w:keepLines w:val="0"/>
              <w:pageBreakBefore w:val="0"/>
              <w:widowControl/>
              <w:kinsoku/>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3.3.2</w:t>
            </w:r>
          </w:p>
        </w:tc>
        <w:tc>
          <w:tcPr>
            <w:tcW w:w="2042" w:type="dxa"/>
            <w:gridSpan w:val="3"/>
            <w:vAlign w:val="center"/>
          </w:tcPr>
          <w:p w14:paraId="1CB17F6C">
            <w:pPr>
              <w:pStyle w:val="31"/>
              <w:keepNext w:val="0"/>
              <w:keepLines w:val="0"/>
              <w:pageBreakBefore w:val="0"/>
              <w:widowControl/>
              <w:kinsoku/>
              <w:wordWrap/>
              <w:overflowPunct/>
              <w:topLinePunct w:val="0"/>
              <w:autoSpaceDE w:val="0"/>
              <w:autoSpaceDN w:val="0"/>
              <w:bidi w:val="0"/>
              <w:adjustRightInd w:val="0"/>
              <w:snapToGrid w:val="0"/>
              <w:spacing w:line="240" w:lineRule="auto"/>
              <w:ind w:left="40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磋商有效期</w:t>
            </w:r>
          </w:p>
        </w:tc>
        <w:tc>
          <w:tcPr>
            <w:tcW w:w="6502" w:type="dxa"/>
            <w:gridSpan w:val="3"/>
            <w:vAlign w:val="center"/>
          </w:tcPr>
          <w:p w14:paraId="689A33BA">
            <w:pPr>
              <w:pStyle w:val="31"/>
              <w:keepNext w:val="0"/>
              <w:keepLines w:val="0"/>
              <w:pageBreakBefore w:val="0"/>
              <w:widowControl/>
              <w:kinsoku/>
              <w:wordWrap/>
              <w:overflowPunct/>
              <w:topLinePunct w:val="0"/>
              <w:autoSpaceDE w:val="0"/>
              <w:autoSpaceDN w:val="0"/>
              <w:bidi w:val="0"/>
              <w:adjustRightInd w:val="0"/>
              <w:snapToGrid w:val="0"/>
              <w:spacing w:line="240" w:lineRule="auto"/>
              <w:ind w:left="14"/>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从磋商之日起60日内为磋商有效期</w:t>
            </w:r>
          </w:p>
        </w:tc>
      </w:tr>
      <w:tr w14:paraId="0DB6F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65" w:hRule="atLeast"/>
        </w:trPr>
        <w:tc>
          <w:tcPr>
            <w:tcW w:w="845" w:type="dxa"/>
            <w:vAlign w:val="center"/>
          </w:tcPr>
          <w:p w14:paraId="3C8C7E5C">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3.4.1</w:t>
            </w:r>
          </w:p>
        </w:tc>
        <w:tc>
          <w:tcPr>
            <w:tcW w:w="2042" w:type="dxa"/>
            <w:gridSpan w:val="3"/>
            <w:vAlign w:val="center"/>
          </w:tcPr>
          <w:p w14:paraId="3609BB46">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投标保证金</w:t>
            </w:r>
          </w:p>
        </w:tc>
        <w:tc>
          <w:tcPr>
            <w:tcW w:w="6502" w:type="dxa"/>
            <w:gridSpan w:val="3"/>
            <w:vAlign w:val="center"/>
          </w:tcPr>
          <w:p w14:paraId="2BE6BD7C">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本项目不需要缴纳投标保证金</w:t>
            </w:r>
          </w:p>
        </w:tc>
      </w:tr>
      <w:tr w14:paraId="5C88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47" w:hRule="atLeast"/>
        </w:trPr>
        <w:tc>
          <w:tcPr>
            <w:tcW w:w="845" w:type="dxa"/>
            <w:vAlign w:val="center"/>
          </w:tcPr>
          <w:p w14:paraId="742E3D93">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4FB0BAF4">
            <w:pPr>
              <w:pStyle w:val="31"/>
              <w:keepNext w:val="0"/>
              <w:keepLines w:val="0"/>
              <w:pageBreakBefore w:val="0"/>
              <w:widowControl/>
              <w:kinsoku/>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3.5.1</w:t>
            </w:r>
          </w:p>
        </w:tc>
        <w:tc>
          <w:tcPr>
            <w:tcW w:w="2042" w:type="dxa"/>
            <w:gridSpan w:val="3"/>
            <w:vAlign w:val="center"/>
          </w:tcPr>
          <w:p w14:paraId="060A6B1C">
            <w:pPr>
              <w:pStyle w:val="31"/>
              <w:keepNext w:val="0"/>
              <w:keepLines w:val="0"/>
              <w:pageBreakBefore w:val="0"/>
              <w:widowControl/>
              <w:kinsoku/>
              <w:wordWrap/>
              <w:overflowPunct/>
              <w:topLinePunct w:val="0"/>
              <w:autoSpaceDE w:val="0"/>
              <w:autoSpaceDN w:val="0"/>
              <w:bidi w:val="0"/>
              <w:adjustRightInd w:val="0"/>
              <w:snapToGrid w:val="0"/>
              <w:spacing w:line="240" w:lineRule="auto"/>
              <w:ind w:left="537" w:right="154" w:hanging="379"/>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近年财务状况的</w:t>
            </w:r>
            <w:r>
              <w:rPr>
                <w:rFonts w:hint="eastAsia" w:ascii="仿宋" w:hAnsi="仿宋" w:eastAsia="仿宋" w:cs="仿宋"/>
                <w:color w:val="auto"/>
                <w:spacing w:val="2"/>
                <w:sz w:val="22"/>
                <w:szCs w:val="22"/>
                <w:highlight w:val="none"/>
                <w:lang w:eastAsia="zh-CN"/>
              </w:rPr>
              <w:t>年份要求</w:t>
            </w:r>
          </w:p>
        </w:tc>
        <w:tc>
          <w:tcPr>
            <w:tcW w:w="6502" w:type="dxa"/>
            <w:gridSpan w:val="3"/>
            <w:vAlign w:val="center"/>
          </w:tcPr>
          <w:p w14:paraId="5590D9BA">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val="en-US" w:eastAsia="zh-CN"/>
              </w:rPr>
              <w:t>详见供应商资格要求</w:t>
            </w:r>
            <w:r>
              <w:rPr>
                <w:rFonts w:hint="eastAsia" w:ascii="仿宋" w:hAnsi="仿宋" w:eastAsia="仿宋" w:cs="仿宋"/>
                <w:color w:val="auto"/>
                <w:spacing w:val="-1"/>
                <w:sz w:val="22"/>
                <w:szCs w:val="22"/>
                <w:highlight w:val="none"/>
              </w:rPr>
              <w:t>。</w:t>
            </w:r>
          </w:p>
        </w:tc>
      </w:tr>
      <w:tr w14:paraId="431C6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16" w:hRule="atLeast"/>
        </w:trPr>
        <w:tc>
          <w:tcPr>
            <w:tcW w:w="845" w:type="dxa"/>
            <w:vAlign w:val="center"/>
          </w:tcPr>
          <w:p w14:paraId="610A6B30">
            <w:pPr>
              <w:pStyle w:val="31"/>
              <w:keepNext w:val="0"/>
              <w:keepLines w:val="0"/>
              <w:pageBreakBefore w:val="0"/>
              <w:widowControl/>
              <w:kinsoku/>
              <w:wordWrap/>
              <w:overflowPunct/>
              <w:topLinePunct w:val="0"/>
              <w:autoSpaceDE w:val="0"/>
              <w:autoSpaceDN w:val="0"/>
              <w:bidi w:val="0"/>
              <w:adjustRightInd w:val="0"/>
              <w:snapToGrid w:val="0"/>
              <w:spacing w:line="240" w:lineRule="auto"/>
              <w:ind w:left="24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3.6</w:t>
            </w:r>
          </w:p>
        </w:tc>
        <w:tc>
          <w:tcPr>
            <w:tcW w:w="2042" w:type="dxa"/>
            <w:gridSpan w:val="3"/>
            <w:vAlign w:val="center"/>
          </w:tcPr>
          <w:p w14:paraId="07889028">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是否允许递交备选</w:t>
            </w:r>
            <w:r>
              <w:rPr>
                <w:rFonts w:hint="eastAsia" w:ascii="仿宋" w:hAnsi="仿宋" w:eastAsia="仿宋" w:cs="仿宋"/>
                <w:color w:val="auto"/>
                <w:spacing w:val="3"/>
                <w:sz w:val="22"/>
                <w:szCs w:val="22"/>
                <w:highlight w:val="none"/>
                <w:lang w:eastAsia="zh-CN"/>
              </w:rPr>
              <w:t>投标方案</w:t>
            </w:r>
          </w:p>
        </w:tc>
        <w:tc>
          <w:tcPr>
            <w:tcW w:w="6502" w:type="dxa"/>
            <w:gridSpan w:val="3"/>
            <w:vAlign w:val="center"/>
          </w:tcPr>
          <w:p w14:paraId="38DFB19E">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不允许</w:t>
            </w:r>
          </w:p>
        </w:tc>
      </w:tr>
      <w:tr w14:paraId="087B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62" w:hRule="atLeast"/>
        </w:trPr>
        <w:tc>
          <w:tcPr>
            <w:tcW w:w="845" w:type="dxa"/>
            <w:vAlign w:val="center"/>
          </w:tcPr>
          <w:p w14:paraId="432591A1">
            <w:pPr>
              <w:pStyle w:val="31"/>
              <w:keepNext w:val="0"/>
              <w:keepLines w:val="0"/>
              <w:pageBreakBefore w:val="0"/>
              <w:widowControl/>
              <w:kinsoku/>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3.7.1</w:t>
            </w:r>
          </w:p>
        </w:tc>
        <w:tc>
          <w:tcPr>
            <w:tcW w:w="2042" w:type="dxa"/>
            <w:gridSpan w:val="3"/>
            <w:vAlign w:val="center"/>
          </w:tcPr>
          <w:p w14:paraId="73D677D1">
            <w:pPr>
              <w:pStyle w:val="31"/>
              <w:keepNext w:val="0"/>
              <w:keepLines w:val="0"/>
              <w:pageBreakBefore w:val="0"/>
              <w:widowControl/>
              <w:kinsoku/>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投标文件的签署</w:t>
            </w:r>
          </w:p>
        </w:tc>
        <w:tc>
          <w:tcPr>
            <w:tcW w:w="6502" w:type="dxa"/>
            <w:gridSpan w:val="3"/>
            <w:vAlign w:val="center"/>
          </w:tcPr>
          <w:p w14:paraId="54646199">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7"/>
                <w:sz w:val="22"/>
                <w:szCs w:val="22"/>
                <w:highlight w:val="none"/>
                <w:lang w:eastAsia="zh-CN"/>
              </w:rPr>
              <w:t>投标文件按格式要求盖章、签字（或盖章</w:t>
            </w:r>
            <w:r>
              <w:rPr>
                <w:rFonts w:hint="eastAsia" w:ascii="仿宋" w:hAnsi="仿宋" w:eastAsia="仿宋" w:cs="仿宋"/>
                <w:color w:val="auto"/>
                <w:spacing w:val="4"/>
                <w:sz w:val="22"/>
                <w:szCs w:val="22"/>
                <w:highlight w:val="none"/>
                <w:lang w:eastAsia="zh-CN"/>
              </w:rPr>
              <w:t>）；</w:t>
            </w:r>
            <w:r>
              <w:rPr>
                <w:rFonts w:hint="eastAsia" w:ascii="仿宋" w:hAnsi="仿宋" w:eastAsia="仿宋" w:cs="仿宋"/>
                <w:color w:val="auto"/>
                <w:spacing w:val="7"/>
                <w:sz w:val="22"/>
                <w:szCs w:val="22"/>
                <w:highlight w:val="none"/>
                <w:lang w:eastAsia="zh-CN"/>
              </w:rPr>
              <w:t>涂改处加盖供应商单位章或法定代表人印章。</w:t>
            </w:r>
          </w:p>
        </w:tc>
      </w:tr>
      <w:tr w14:paraId="3FF2E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04" w:hRule="atLeast"/>
        </w:trPr>
        <w:tc>
          <w:tcPr>
            <w:tcW w:w="845" w:type="dxa"/>
            <w:vAlign w:val="center"/>
          </w:tcPr>
          <w:p w14:paraId="1982132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49E3B79B">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18"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4.2</w:t>
            </w:r>
          </w:p>
        </w:tc>
        <w:tc>
          <w:tcPr>
            <w:tcW w:w="2042" w:type="dxa"/>
            <w:gridSpan w:val="3"/>
            <w:vAlign w:val="center"/>
          </w:tcPr>
          <w:p w14:paraId="63B06ED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32345971">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30"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75A41DA7">
            <w:pPr>
              <w:pStyle w:val="31"/>
              <w:keepNext w:val="0"/>
              <w:keepLines w:val="0"/>
              <w:pageBreakBefore w:val="0"/>
              <w:widowControl/>
              <w:kinsoku/>
              <w:wordWrap/>
              <w:overflowPunct/>
              <w:topLinePunct w:val="0"/>
              <w:autoSpaceDE w:val="0"/>
              <w:autoSpaceDN w:val="0"/>
              <w:bidi w:val="0"/>
              <w:adjustRightInd w:val="0"/>
              <w:snapToGrid w:val="0"/>
              <w:spacing w:line="240" w:lineRule="auto"/>
              <w:ind w:right="123"/>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日</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时</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分（</w:t>
            </w:r>
            <w:r>
              <w:rPr>
                <w:rFonts w:hint="eastAsia" w:ascii="仿宋" w:hAnsi="仿宋" w:eastAsia="仿宋" w:cs="仿宋"/>
                <w:b/>
                <w:bCs/>
                <w:color w:val="auto"/>
                <w:sz w:val="22"/>
                <w:szCs w:val="22"/>
                <w:highlight w:val="none"/>
                <w:lang w:val="en-US" w:eastAsia="zh-CN"/>
              </w:rPr>
              <w:t>以交易系统网站公告为准，若延期，以电子交易服务系统提示时间或澄清、修改文件相关内容为准</w:t>
            </w:r>
            <w:r>
              <w:rPr>
                <w:rFonts w:hint="eastAsia" w:ascii="仿宋" w:hAnsi="仿宋" w:eastAsia="仿宋" w:cs="仿宋"/>
                <w:color w:val="auto"/>
                <w:sz w:val="22"/>
                <w:szCs w:val="22"/>
                <w:highlight w:val="none"/>
                <w:lang w:val="en-US" w:eastAsia="zh-CN"/>
              </w:rPr>
              <w:t>）。</w:t>
            </w:r>
          </w:p>
        </w:tc>
      </w:tr>
      <w:tr w14:paraId="311E3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41" w:hRule="atLeast"/>
        </w:trPr>
        <w:tc>
          <w:tcPr>
            <w:tcW w:w="845" w:type="dxa"/>
            <w:vAlign w:val="center"/>
          </w:tcPr>
          <w:p w14:paraId="3AE4EE33">
            <w:pPr>
              <w:pStyle w:val="31"/>
              <w:keepNext w:val="0"/>
              <w:keepLines w:val="0"/>
              <w:pageBreakBefore w:val="0"/>
              <w:widowControl/>
              <w:kinsoku/>
              <w:wordWrap/>
              <w:overflowPunct/>
              <w:topLinePunct w:val="0"/>
              <w:autoSpaceDE w:val="0"/>
              <w:autoSpaceDN w:val="0"/>
              <w:bidi w:val="0"/>
              <w:adjustRightInd w:val="0"/>
              <w:snapToGrid w:val="0"/>
              <w:spacing w:line="240" w:lineRule="auto"/>
              <w:ind w:left="11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4.2.1</w:t>
            </w:r>
          </w:p>
        </w:tc>
        <w:tc>
          <w:tcPr>
            <w:tcW w:w="2042" w:type="dxa"/>
            <w:gridSpan w:val="3"/>
            <w:vAlign w:val="center"/>
          </w:tcPr>
          <w:p w14:paraId="0831F47C">
            <w:pPr>
              <w:pStyle w:val="31"/>
              <w:keepNext w:val="0"/>
              <w:keepLines w:val="0"/>
              <w:pageBreakBefore w:val="0"/>
              <w:widowControl/>
              <w:kinsoku/>
              <w:wordWrap/>
              <w:overflowPunct/>
              <w:topLinePunct w:val="0"/>
              <w:autoSpaceDE w:val="0"/>
              <w:autoSpaceDN w:val="0"/>
              <w:bidi w:val="0"/>
              <w:adjustRightInd w:val="0"/>
              <w:snapToGrid w:val="0"/>
              <w:spacing w:line="240" w:lineRule="auto"/>
              <w:ind w:left="34"/>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是否退还投标文件</w:t>
            </w:r>
          </w:p>
        </w:tc>
        <w:tc>
          <w:tcPr>
            <w:tcW w:w="6502" w:type="dxa"/>
            <w:gridSpan w:val="3"/>
            <w:vAlign w:val="center"/>
          </w:tcPr>
          <w:p w14:paraId="4A2D2B2C">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76B98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85" w:hRule="atLeast"/>
        </w:trPr>
        <w:tc>
          <w:tcPr>
            <w:tcW w:w="845" w:type="dxa"/>
            <w:vAlign w:val="center"/>
          </w:tcPr>
          <w:p w14:paraId="38F7AA79">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5.1</w:t>
            </w:r>
          </w:p>
        </w:tc>
        <w:tc>
          <w:tcPr>
            <w:tcW w:w="2042" w:type="dxa"/>
            <w:gridSpan w:val="3"/>
            <w:vAlign w:val="center"/>
          </w:tcPr>
          <w:p w14:paraId="6BBEE6D8">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2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电子响应文件</w:t>
            </w:r>
          </w:p>
        </w:tc>
        <w:tc>
          <w:tcPr>
            <w:tcW w:w="6502" w:type="dxa"/>
            <w:gridSpan w:val="3"/>
            <w:vAlign w:val="center"/>
          </w:tcPr>
          <w:p w14:paraId="0321CF27">
            <w:pPr>
              <w:pStyle w:val="31"/>
              <w:keepNext w:val="0"/>
              <w:keepLines w:val="0"/>
              <w:pageBreakBefore w:val="0"/>
              <w:widowControl/>
              <w:kinsoku/>
              <w:wordWrap/>
              <w:overflowPunct/>
              <w:topLinePunct w:val="0"/>
              <w:autoSpaceDE w:val="0"/>
              <w:autoSpaceDN w:val="0"/>
              <w:bidi w:val="0"/>
              <w:adjustRightInd w:val="0"/>
              <w:snapToGrid w:val="0"/>
              <w:spacing w:line="240" w:lineRule="auto"/>
              <w:ind w:left="30" w:right="13" w:firstLine="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w:t>
            </w:r>
            <w:r>
              <w:rPr>
                <w:rFonts w:hint="eastAsia" w:ascii="仿宋" w:hAnsi="仿宋" w:eastAsia="仿宋" w:cs="仿宋"/>
                <w:b/>
                <w:bCs/>
                <w:color w:val="auto"/>
                <w:spacing w:val="-2"/>
                <w:sz w:val="22"/>
                <w:szCs w:val="22"/>
                <w:highlight w:val="none"/>
              </w:rPr>
              <w:t>若</w:t>
            </w:r>
            <w:r>
              <w:rPr>
                <w:rFonts w:hint="eastAsia" w:ascii="仿宋" w:hAnsi="仿宋" w:eastAsia="仿宋" w:cs="仿宋"/>
                <w:b/>
                <w:bCs/>
                <w:color w:val="auto"/>
                <w:spacing w:val="-2"/>
                <w:sz w:val="22"/>
                <w:szCs w:val="22"/>
                <w:highlight w:val="none"/>
                <w:lang w:eastAsia="zh-CN"/>
              </w:rPr>
              <w:t>供应商</w:t>
            </w:r>
            <w:r>
              <w:rPr>
                <w:rFonts w:hint="eastAsia" w:ascii="仿宋" w:hAnsi="仿宋" w:eastAsia="仿宋" w:cs="仿宋"/>
                <w:b/>
                <w:bCs/>
                <w:color w:val="auto"/>
                <w:spacing w:val="-2"/>
                <w:sz w:val="22"/>
                <w:szCs w:val="22"/>
                <w:highlight w:val="none"/>
              </w:rPr>
              <w:t>选择现场开标</w:t>
            </w:r>
            <w:r>
              <w:rPr>
                <w:rFonts w:hint="eastAsia" w:ascii="仿宋" w:hAnsi="仿宋" w:eastAsia="仿宋" w:cs="仿宋"/>
                <w:b/>
                <w:bCs/>
                <w:color w:val="auto"/>
                <w:spacing w:val="-2"/>
                <w:sz w:val="22"/>
                <w:szCs w:val="22"/>
                <w:highlight w:val="none"/>
                <w:lang w:eastAsia="zh-CN"/>
              </w:rPr>
              <w:t>：</w:t>
            </w:r>
            <w:r>
              <w:rPr>
                <w:rFonts w:hint="eastAsia" w:ascii="仿宋" w:hAnsi="仿宋" w:eastAsia="仿宋" w:cs="仿宋"/>
                <w:b w:val="0"/>
                <w:bCs w:val="0"/>
                <w:color w:val="auto"/>
                <w:spacing w:val="-2"/>
                <w:sz w:val="22"/>
                <w:szCs w:val="22"/>
                <w:highlight w:val="none"/>
                <w:lang w:val="en-US" w:eastAsia="zh-CN"/>
              </w:rPr>
              <w:t>将</w:t>
            </w:r>
            <w:r>
              <w:rPr>
                <w:rFonts w:hint="eastAsia" w:ascii="仿宋" w:hAnsi="仿宋" w:eastAsia="仿宋" w:cs="仿宋"/>
                <w:b w:val="0"/>
                <w:bCs w:val="0"/>
                <w:color w:val="auto"/>
                <w:spacing w:val="-2"/>
                <w:sz w:val="22"/>
                <w:szCs w:val="22"/>
                <w:highlight w:val="none"/>
                <w:lang w:eastAsia="zh-CN"/>
              </w:rPr>
              <w:t>加密的电子投标文件</w:t>
            </w:r>
            <w:r>
              <w:rPr>
                <w:rFonts w:hint="eastAsia" w:ascii="仿宋" w:hAnsi="仿宋" w:eastAsia="仿宋" w:cs="仿宋"/>
                <w:b/>
                <w:bCs/>
                <w:color w:val="auto"/>
                <w:spacing w:val="-1"/>
                <w:sz w:val="22"/>
                <w:szCs w:val="22"/>
                <w:highlight w:val="none"/>
                <w:lang w:eastAsia="zh-CN"/>
              </w:rPr>
              <w:t>*.ZYTF</w:t>
            </w:r>
            <w:r>
              <w:rPr>
                <w:rFonts w:hint="eastAsia" w:ascii="仿宋" w:hAnsi="仿宋" w:eastAsia="仿宋" w:cs="仿宋"/>
                <w:b w:val="0"/>
                <w:bCs w:val="0"/>
                <w:color w:val="auto"/>
                <w:spacing w:val="-2"/>
                <w:sz w:val="22"/>
                <w:szCs w:val="22"/>
                <w:highlight w:val="none"/>
                <w:lang w:eastAsia="zh-CN"/>
              </w:rPr>
              <w:t>上传至全国公共资源交易平台（贵州省.遵义市）会员系统，</w:t>
            </w:r>
            <w:r>
              <w:rPr>
                <w:rFonts w:hint="eastAsia" w:ascii="仿宋" w:hAnsi="仿宋" w:eastAsia="仿宋" w:cs="仿宋"/>
                <w:color w:val="auto"/>
                <w:spacing w:val="-2"/>
                <w:sz w:val="22"/>
                <w:szCs w:val="22"/>
                <w:highlight w:val="none"/>
              </w:rPr>
              <w:t>非加密的投标文件（</w:t>
            </w:r>
            <w:r>
              <w:rPr>
                <w:rFonts w:hint="eastAsia" w:ascii="仿宋" w:hAnsi="仿宋" w:eastAsia="仿宋" w:cs="仿宋"/>
                <w:color w:val="auto"/>
                <w:spacing w:val="-3"/>
                <w:sz w:val="22"/>
                <w:szCs w:val="22"/>
                <w:highlight w:val="none"/>
              </w:rPr>
              <w:t>.nZYTF格</w:t>
            </w:r>
            <w:r>
              <w:rPr>
                <w:rFonts w:hint="eastAsia" w:ascii="仿宋" w:hAnsi="仿宋" w:eastAsia="仿宋" w:cs="仿宋"/>
                <w:color w:val="auto"/>
                <w:spacing w:val="-2"/>
                <w:sz w:val="22"/>
                <w:szCs w:val="22"/>
                <w:highlight w:val="none"/>
              </w:rPr>
              <w:t>式）</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盘一份</w:t>
            </w:r>
            <w:r>
              <w:rPr>
                <w:rFonts w:hint="eastAsia" w:ascii="仿宋" w:hAnsi="仿宋" w:eastAsia="仿宋" w:cs="仿宋"/>
                <w:color w:val="auto"/>
                <w:spacing w:val="-2"/>
                <w:sz w:val="22"/>
                <w:szCs w:val="22"/>
                <w:highlight w:val="none"/>
                <w:lang w:val="en-US" w:eastAsia="zh-CN"/>
              </w:rPr>
              <w:t>递交到开标现场</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盘上需注明项目名称、</w:t>
            </w:r>
            <w:r>
              <w:rPr>
                <w:rFonts w:hint="eastAsia" w:cs="仿宋"/>
                <w:color w:val="auto"/>
                <w:spacing w:val="-2"/>
                <w:sz w:val="22"/>
                <w:szCs w:val="22"/>
                <w:highlight w:val="none"/>
                <w:lang w:val="en-US" w:eastAsia="zh-CN"/>
              </w:rPr>
              <w:t>采购人名称</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3"/>
                <w:sz w:val="22"/>
                <w:szCs w:val="22"/>
                <w:highlight w:val="none"/>
                <w:lang w:eastAsia="zh-CN"/>
              </w:rPr>
              <w:t>供应商</w:t>
            </w:r>
            <w:r>
              <w:rPr>
                <w:rFonts w:hint="eastAsia" w:ascii="仿宋" w:hAnsi="仿宋" w:eastAsia="仿宋" w:cs="仿宋"/>
                <w:color w:val="auto"/>
                <w:spacing w:val="-3"/>
                <w:sz w:val="22"/>
                <w:szCs w:val="22"/>
                <w:highlight w:val="none"/>
              </w:rPr>
              <w:t>名称等内</w:t>
            </w:r>
            <w:r>
              <w:rPr>
                <w:rFonts w:hint="eastAsia" w:ascii="仿宋" w:hAnsi="仿宋" w:eastAsia="仿宋" w:cs="仿宋"/>
                <w:color w:val="auto"/>
                <w:spacing w:val="-2"/>
                <w:sz w:val="22"/>
                <w:szCs w:val="22"/>
                <w:highlight w:val="none"/>
              </w:rPr>
              <w:t>容）及CA锁现场解密，如果开标现场因系统原因</w:t>
            </w:r>
            <w:r>
              <w:rPr>
                <w:rFonts w:hint="eastAsia" w:ascii="仿宋" w:hAnsi="仿宋" w:eastAsia="仿宋" w:cs="仿宋"/>
                <w:color w:val="auto"/>
                <w:spacing w:val="-3"/>
                <w:sz w:val="22"/>
                <w:szCs w:val="22"/>
                <w:highlight w:val="none"/>
              </w:rPr>
              <w:t>解密失败，则采用</w:t>
            </w:r>
            <w:r>
              <w:rPr>
                <w:rFonts w:hint="eastAsia" w:ascii="仿宋" w:hAnsi="仿宋" w:eastAsia="仿宋" w:cs="仿宋"/>
                <w:color w:val="auto"/>
                <w:spacing w:val="-3"/>
                <w:sz w:val="22"/>
                <w:szCs w:val="22"/>
                <w:highlight w:val="none"/>
                <w:lang w:val="en-US" w:eastAsia="zh-CN"/>
              </w:rPr>
              <w:t>U</w:t>
            </w:r>
            <w:r>
              <w:rPr>
                <w:rFonts w:hint="eastAsia" w:ascii="仿宋" w:hAnsi="仿宋" w:eastAsia="仿宋" w:cs="仿宋"/>
                <w:color w:val="auto"/>
                <w:spacing w:val="-5"/>
                <w:sz w:val="22"/>
                <w:szCs w:val="22"/>
                <w:highlight w:val="none"/>
              </w:rPr>
              <w:t>盘开评标；</w:t>
            </w:r>
          </w:p>
          <w:p w14:paraId="0D98127F">
            <w:pPr>
              <w:pStyle w:val="31"/>
              <w:keepNext w:val="0"/>
              <w:keepLines w:val="0"/>
              <w:pageBreakBefore w:val="0"/>
              <w:widowControl/>
              <w:kinsoku/>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strike w:val="0"/>
                <w:dstrike w:val="0"/>
                <w:color w:val="auto"/>
                <w:spacing w:val="-3"/>
                <w:sz w:val="22"/>
                <w:szCs w:val="22"/>
                <w:highlight w:val="none"/>
              </w:rPr>
              <w:t>（2）</w:t>
            </w:r>
            <w:r>
              <w:rPr>
                <w:rFonts w:hint="eastAsia" w:ascii="仿宋" w:hAnsi="仿宋" w:eastAsia="仿宋" w:cs="仿宋"/>
                <w:b/>
                <w:bCs/>
                <w:strike w:val="0"/>
                <w:dstrike w:val="0"/>
                <w:color w:val="auto"/>
                <w:spacing w:val="-3"/>
                <w:sz w:val="22"/>
                <w:szCs w:val="22"/>
                <w:highlight w:val="none"/>
              </w:rPr>
              <w:t>若</w:t>
            </w:r>
            <w:r>
              <w:rPr>
                <w:rFonts w:hint="eastAsia" w:ascii="仿宋" w:hAnsi="仿宋" w:eastAsia="仿宋" w:cs="仿宋"/>
                <w:b/>
                <w:bCs/>
                <w:strike w:val="0"/>
                <w:dstrike w:val="0"/>
                <w:color w:val="auto"/>
                <w:spacing w:val="-3"/>
                <w:sz w:val="22"/>
                <w:szCs w:val="22"/>
                <w:highlight w:val="none"/>
                <w:lang w:eastAsia="zh-CN"/>
              </w:rPr>
              <w:t>供应商</w:t>
            </w:r>
            <w:r>
              <w:rPr>
                <w:rFonts w:hint="eastAsia" w:ascii="仿宋" w:hAnsi="仿宋" w:eastAsia="仿宋" w:cs="仿宋"/>
                <w:b/>
                <w:bCs/>
                <w:strike w:val="0"/>
                <w:dstrike w:val="0"/>
                <w:color w:val="auto"/>
                <w:spacing w:val="-3"/>
                <w:sz w:val="22"/>
                <w:szCs w:val="22"/>
                <w:highlight w:val="none"/>
              </w:rPr>
              <w:t>选择不见面开标</w:t>
            </w:r>
            <w:r>
              <w:rPr>
                <w:rFonts w:hint="eastAsia" w:ascii="仿宋" w:hAnsi="仿宋" w:eastAsia="仿宋" w:cs="仿宋"/>
                <w:b/>
                <w:bCs/>
                <w:strike w:val="0"/>
                <w:dstrike w:val="0"/>
                <w:color w:val="auto"/>
                <w:spacing w:val="-3"/>
                <w:sz w:val="22"/>
                <w:szCs w:val="22"/>
                <w:highlight w:val="none"/>
                <w:lang w:eastAsia="zh-CN"/>
              </w:rPr>
              <w:t>：</w:t>
            </w:r>
            <w:r>
              <w:rPr>
                <w:rFonts w:hint="eastAsia" w:ascii="仿宋" w:hAnsi="仿宋" w:eastAsia="仿宋" w:cs="仿宋"/>
                <w:strike w:val="0"/>
                <w:dstrike w:val="0"/>
                <w:color w:val="auto"/>
                <w:spacing w:val="-3"/>
                <w:sz w:val="22"/>
                <w:szCs w:val="22"/>
                <w:highlight w:val="none"/>
              </w:rPr>
              <w:fldChar w:fldCharType="begin"/>
            </w:r>
            <w:r>
              <w:rPr>
                <w:rFonts w:hint="eastAsia" w:ascii="仿宋" w:hAnsi="仿宋" w:eastAsia="仿宋" w:cs="仿宋"/>
                <w:strike w:val="0"/>
                <w:dstrike w:val="0"/>
                <w:color w:val="auto"/>
                <w:spacing w:val="-3"/>
                <w:sz w:val="22"/>
                <w:szCs w:val="22"/>
                <w:highlight w:val="none"/>
              </w:rPr>
              <w:instrText xml:space="preserve"> HYPERLINK "mailto:.nZYTF格式）需在投标截止时间前发送至邮箱（1327860342@qq.com），投标截止时间后投标人自行通过CA锁远程解密，远程解密失败由投标人自行负责" </w:instrText>
            </w:r>
            <w:r>
              <w:rPr>
                <w:rFonts w:hint="eastAsia" w:ascii="仿宋" w:hAnsi="仿宋" w:eastAsia="仿宋" w:cs="仿宋"/>
                <w:strike w:val="0"/>
                <w:dstrike w:val="0"/>
                <w:color w:val="auto"/>
                <w:spacing w:val="-3"/>
                <w:sz w:val="22"/>
                <w:szCs w:val="22"/>
                <w:highlight w:val="none"/>
              </w:rPr>
              <w:fldChar w:fldCharType="separate"/>
            </w:r>
            <w:r>
              <w:rPr>
                <w:rStyle w:val="27"/>
                <w:rFonts w:hint="eastAsia" w:ascii="仿宋" w:hAnsi="仿宋" w:eastAsia="仿宋" w:cs="仿宋"/>
                <w:strike w:val="0"/>
                <w:dstrike w:val="0"/>
                <w:color w:val="auto"/>
                <w:spacing w:val="-2"/>
                <w:sz w:val="22"/>
                <w:szCs w:val="22"/>
                <w:highlight w:val="none"/>
              </w:rPr>
              <w:t>投标截止时</w:t>
            </w:r>
            <w:r>
              <w:rPr>
                <w:rStyle w:val="27"/>
                <w:rFonts w:hint="eastAsia" w:ascii="仿宋" w:hAnsi="仿宋" w:eastAsia="仿宋" w:cs="仿宋"/>
                <w:strike w:val="0"/>
                <w:dstrike w:val="0"/>
                <w:color w:val="auto"/>
                <w:spacing w:val="-1"/>
                <w:sz w:val="22"/>
                <w:szCs w:val="22"/>
                <w:highlight w:val="none"/>
              </w:rPr>
              <w:t>间后</w:t>
            </w:r>
            <w:r>
              <w:rPr>
                <w:rStyle w:val="27"/>
                <w:rFonts w:hint="eastAsia" w:ascii="仿宋" w:hAnsi="仿宋" w:eastAsia="仿宋" w:cs="仿宋"/>
                <w:strike w:val="0"/>
                <w:dstrike w:val="0"/>
                <w:color w:val="auto"/>
                <w:spacing w:val="-1"/>
                <w:sz w:val="22"/>
                <w:szCs w:val="22"/>
                <w:highlight w:val="none"/>
                <w:lang w:eastAsia="zh-CN"/>
              </w:rPr>
              <w:t>供应商</w:t>
            </w:r>
            <w:r>
              <w:rPr>
                <w:rStyle w:val="27"/>
                <w:rFonts w:hint="eastAsia" w:ascii="仿宋" w:hAnsi="仿宋" w:eastAsia="仿宋" w:cs="仿宋"/>
                <w:strike w:val="0"/>
                <w:dstrike w:val="0"/>
                <w:color w:val="auto"/>
                <w:spacing w:val="-1"/>
                <w:sz w:val="22"/>
                <w:szCs w:val="22"/>
                <w:highlight w:val="none"/>
              </w:rPr>
              <w:t>自行通过CA锁远程解密，远程解密失败由</w:t>
            </w:r>
            <w:r>
              <w:rPr>
                <w:rStyle w:val="27"/>
                <w:rFonts w:hint="eastAsia" w:ascii="仿宋" w:hAnsi="仿宋" w:eastAsia="仿宋" w:cs="仿宋"/>
                <w:strike w:val="0"/>
                <w:dstrike w:val="0"/>
                <w:color w:val="auto"/>
                <w:spacing w:val="-1"/>
                <w:sz w:val="22"/>
                <w:szCs w:val="22"/>
                <w:highlight w:val="none"/>
                <w:lang w:eastAsia="zh-CN"/>
              </w:rPr>
              <w:t>供应商</w:t>
            </w:r>
            <w:r>
              <w:rPr>
                <w:rStyle w:val="27"/>
                <w:rFonts w:hint="eastAsia" w:ascii="仿宋" w:hAnsi="仿宋" w:eastAsia="仿宋" w:cs="仿宋"/>
                <w:strike w:val="0"/>
                <w:dstrike w:val="0"/>
                <w:color w:val="auto"/>
                <w:spacing w:val="-1"/>
                <w:sz w:val="22"/>
                <w:szCs w:val="22"/>
                <w:highlight w:val="none"/>
              </w:rPr>
              <w:t>自行负</w:t>
            </w:r>
            <w:r>
              <w:rPr>
                <w:rStyle w:val="27"/>
                <w:rFonts w:hint="eastAsia" w:ascii="仿宋" w:hAnsi="仿宋" w:eastAsia="仿宋" w:cs="仿宋"/>
                <w:strike w:val="0"/>
                <w:dstrike w:val="0"/>
                <w:color w:val="auto"/>
                <w:spacing w:val="-9"/>
                <w:sz w:val="22"/>
                <w:szCs w:val="22"/>
                <w:highlight w:val="none"/>
              </w:rPr>
              <w:t>责</w:t>
            </w:r>
            <w:r>
              <w:rPr>
                <w:rFonts w:hint="eastAsia" w:ascii="仿宋" w:hAnsi="仿宋" w:eastAsia="仿宋" w:cs="仿宋"/>
                <w:strike w:val="0"/>
                <w:dstrike w:val="0"/>
                <w:color w:val="auto"/>
                <w:spacing w:val="-3"/>
                <w:sz w:val="22"/>
                <w:szCs w:val="22"/>
                <w:highlight w:val="none"/>
              </w:rPr>
              <w:fldChar w:fldCharType="end"/>
            </w:r>
            <w:r>
              <w:rPr>
                <w:rFonts w:hint="eastAsia" w:cs="仿宋"/>
                <w:strike w:val="0"/>
                <w:dstrike w:val="0"/>
                <w:color w:val="auto"/>
                <w:spacing w:val="-3"/>
                <w:sz w:val="22"/>
                <w:szCs w:val="22"/>
                <w:highlight w:val="none"/>
                <w:lang w:eastAsia="zh-CN"/>
              </w:rPr>
              <w:t>。</w:t>
            </w:r>
          </w:p>
        </w:tc>
      </w:tr>
      <w:tr w14:paraId="00766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48FB6B6C">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14"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5.2</w:t>
            </w:r>
          </w:p>
        </w:tc>
        <w:tc>
          <w:tcPr>
            <w:tcW w:w="2042" w:type="dxa"/>
            <w:gridSpan w:val="3"/>
            <w:vAlign w:val="center"/>
          </w:tcPr>
          <w:p w14:paraId="0D28843A">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452" w:firstLineChars="2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开标程序</w:t>
            </w:r>
          </w:p>
        </w:tc>
        <w:tc>
          <w:tcPr>
            <w:tcW w:w="6502" w:type="dxa"/>
            <w:gridSpan w:val="3"/>
            <w:vAlign w:val="center"/>
          </w:tcPr>
          <w:p w14:paraId="53602579">
            <w:pPr>
              <w:pStyle w:val="31"/>
              <w:keepNext w:val="0"/>
              <w:keepLines w:val="0"/>
              <w:pageBreakBefore w:val="0"/>
              <w:widowControl/>
              <w:kinsoku/>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
                <w:sz w:val="22"/>
                <w:szCs w:val="22"/>
                <w:highlight w:val="none"/>
              </w:rPr>
              <w:t>（1）选择现场投标：</w:t>
            </w:r>
            <w:r>
              <w:rPr>
                <w:rFonts w:hint="eastAsia" w:ascii="仿宋" w:hAnsi="仿宋" w:eastAsia="仿宋" w:cs="仿宋"/>
                <w:b/>
                <w:bCs/>
                <w:color w:val="auto"/>
                <w:spacing w:val="-1"/>
                <w:sz w:val="22"/>
                <w:szCs w:val="22"/>
                <w:highlight w:val="none"/>
                <w:lang w:eastAsia="zh-CN"/>
              </w:rPr>
              <w:t>供应商</w:t>
            </w:r>
            <w:r>
              <w:rPr>
                <w:rFonts w:hint="eastAsia" w:ascii="仿宋" w:hAnsi="仿宋" w:eastAsia="仿宋" w:cs="仿宋"/>
                <w:b/>
                <w:bCs/>
                <w:color w:val="auto"/>
                <w:spacing w:val="-1"/>
                <w:sz w:val="22"/>
                <w:szCs w:val="22"/>
                <w:highlight w:val="none"/>
              </w:rPr>
              <w:t>的法定代表人或其委托代理人参加开标</w:t>
            </w:r>
            <w:r>
              <w:rPr>
                <w:rFonts w:hint="eastAsia" w:ascii="仿宋" w:hAnsi="仿宋" w:eastAsia="仿宋" w:cs="仿宋"/>
                <w:b/>
                <w:bCs/>
                <w:color w:val="auto"/>
                <w:spacing w:val="-3"/>
                <w:sz w:val="22"/>
                <w:szCs w:val="22"/>
                <w:highlight w:val="none"/>
              </w:rPr>
              <w:t>会时需向</w:t>
            </w:r>
            <w:r>
              <w:rPr>
                <w:rFonts w:hint="eastAsia" w:ascii="仿宋" w:hAnsi="仿宋" w:eastAsia="仿宋" w:cs="仿宋"/>
                <w:b/>
                <w:bCs/>
                <w:color w:val="auto"/>
                <w:spacing w:val="-3"/>
                <w:sz w:val="22"/>
                <w:szCs w:val="22"/>
                <w:highlight w:val="none"/>
                <w:lang w:eastAsia="zh-CN"/>
              </w:rPr>
              <w:t>采购人</w:t>
            </w:r>
            <w:r>
              <w:rPr>
                <w:rFonts w:hint="eastAsia" w:ascii="仿宋" w:hAnsi="仿宋" w:eastAsia="仿宋" w:cs="仿宋"/>
                <w:b/>
                <w:bCs/>
                <w:color w:val="auto"/>
                <w:spacing w:val="-3"/>
                <w:sz w:val="22"/>
                <w:szCs w:val="22"/>
                <w:highlight w:val="none"/>
              </w:rPr>
              <w:t>提交相应身份证明文件；法人参会的出示法人身份证明书和法人身份证；委托人参会的出示授权委托书原件和被授权人身</w:t>
            </w:r>
            <w:r>
              <w:rPr>
                <w:rFonts w:hint="eastAsia" w:ascii="仿宋" w:hAnsi="仿宋" w:eastAsia="仿宋" w:cs="仿宋"/>
                <w:b/>
                <w:bCs/>
                <w:color w:val="auto"/>
                <w:spacing w:val="-4"/>
                <w:sz w:val="22"/>
                <w:szCs w:val="22"/>
                <w:highlight w:val="none"/>
              </w:rPr>
              <w:t>份证原件</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复印件均需加盖公章</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rPr>
              <w:t>。</w:t>
            </w:r>
          </w:p>
          <w:p w14:paraId="60E8B9AB">
            <w:pPr>
              <w:pStyle w:val="31"/>
              <w:keepNext w:val="0"/>
              <w:keepLines w:val="0"/>
              <w:pageBreakBefore w:val="0"/>
              <w:widowControl/>
              <w:kinsoku/>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color w:val="auto"/>
                <w:sz w:val="22"/>
                <w:szCs w:val="22"/>
                <w:highlight w:val="none"/>
              </w:rPr>
            </w:pP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lang w:val="en-US" w:eastAsia="zh-CN"/>
              </w:rPr>
              <w:t>2</w:t>
            </w: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rPr>
              <w:t>选择远程投标、不见面开标：将相应身份证明材料编入投标文件上传至交易中心系统。</w:t>
            </w:r>
          </w:p>
        </w:tc>
      </w:tr>
      <w:tr w14:paraId="2848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51" w:hRule="atLeast"/>
        </w:trPr>
        <w:tc>
          <w:tcPr>
            <w:tcW w:w="845" w:type="dxa"/>
            <w:vAlign w:val="center"/>
          </w:tcPr>
          <w:p w14:paraId="7B95FCB1">
            <w:pPr>
              <w:pStyle w:val="31"/>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6.1</w:t>
            </w:r>
          </w:p>
        </w:tc>
        <w:tc>
          <w:tcPr>
            <w:tcW w:w="2042" w:type="dxa"/>
            <w:gridSpan w:val="3"/>
            <w:vAlign w:val="center"/>
          </w:tcPr>
          <w:p w14:paraId="4BB040D8">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eastAsia="zh-CN"/>
              </w:rPr>
              <w:t>竞争性磋商小组组建</w:t>
            </w:r>
          </w:p>
        </w:tc>
        <w:tc>
          <w:tcPr>
            <w:tcW w:w="6502" w:type="dxa"/>
            <w:gridSpan w:val="3"/>
            <w:vAlign w:val="center"/>
          </w:tcPr>
          <w:p w14:paraId="7DBF7B7E">
            <w:pPr>
              <w:pStyle w:val="31"/>
              <w:keepNext w:val="0"/>
              <w:keepLines w:val="0"/>
              <w:pageBreakBefore w:val="0"/>
              <w:widowControl/>
              <w:kinsoku/>
              <w:wordWrap/>
              <w:overflowPunct/>
              <w:topLinePunct w:val="0"/>
              <w:autoSpaceDE w:val="0"/>
              <w:autoSpaceDN w:val="0"/>
              <w:bidi w:val="0"/>
              <w:adjustRightInd w:val="0"/>
              <w:snapToGrid w:val="0"/>
              <w:spacing w:line="240" w:lineRule="auto"/>
              <w:ind w:left="15"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6"/>
                <w:sz w:val="22"/>
                <w:szCs w:val="22"/>
                <w:highlight w:val="none"/>
                <w:lang w:eastAsia="zh-CN"/>
              </w:rPr>
              <w:t>竞争性磋商小组:（</w:t>
            </w:r>
            <w:r>
              <w:rPr>
                <w:rFonts w:hint="eastAsia" w:ascii="仿宋" w:hAnsi="仿宋" w:eastAsia="仿宋" w:cs="仿宋"/>
                <w:color w:val="auto"/>
                <w:spacing w:val="6"/>
                <w:sz w:val="22"/>
                <w:szCs w:val="22"/>
                <w:highlight w:val="none"/>
                <w:lang w:val="en-US" w:eastAsia="zh-CN"/>
              </w:rPr>
              <w:t>1</w:t>
            </w:r>
            <w:r>
              <w:rPr>
                <w:rFonts w:hint="eastAsia" w:ascii="仿宋" w:hAnsi="仿宋" w:eastAsia="仿宋" w:cs="仿宋"/>
                <w:color w:val="auto"/>
                <w:spacing w:val="6"/>
                <w:sz w:val="22"/>
                <w:szCs w:val="22"/>
                <w:highlight w:val="none"/>
                <w:lang w:eastAsia="zh-CN"/>
              </w:rPr>
              <w:t>）由采购人代表和有关技术、经济专家组成，成员人数为3人</w:t>
            </w:r>
            <w:r>
              <w:rPr>
                <w:rFonts w:hint="eastAsia" w:ascii="仿宋" w:hAnsi="仿宋" w:eastAsia="仿宋" w:cs="仿宋"/>
                <w:color w:val="auto"/>
                <w:spacing w:val="6"/>
                <w:sz w:val="22"/>
                <w:szCs w:val="22"/>
                <w:highlight w:val="none"/>
                <w:lang w:val="en-US" w:eastAsia="zh-CN"/>
              </w:rPr>
              <w:t>及</w:t>
            </w:r>
            <w:r>
              <w:rPr>
                <w:rFonts w:hint="eastAsia" w:ascii="仿宋" w:hAnsi="仿宋" w:eastAsia="仿宋" w:cs="仿宋"/>
                <w:color w:val="auto"/>
                <w:spacing w:val="6"/>
                <w:sz w:val="22"/>
                <w:szCs w:val="22"/>
                <w:highlight w:val="none"/>
                <w:lang w:eastAsia="zh-CN"/>
              </w:rPr>
              <w:t>以上单数。其中经济、技术方面的专家不得少于成员总数的2/3。(2)相关专业专家从贵州省综合评标专家库中随机抽取确定。</w:t>
            </w:r>
          </w:p>
        </w:tc>
      </w:tr>
      <w:tr w14:paraId="1C261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0374132D">
            <w:pPr>
              <w:pStyle w:val="31"/>
              <w:keepNext w:val="0"/>
              <w:keepLines w:val="0"/>
              <w:pageBreakBefore w:val="0"/>
              <w:widowControl/>
              <w:kinsoku/>
              <w:wordWrap/>
              <w:overflowPunct/>
              <w:topLinePunct w:val="0"/>
              <w:autoSpaceDE w:val="0"/>
              <w:autoSpaceDN w:val="0"/>
              <w:bidi w:val="0"/>
              <w:adjustRightInd w:val="0"/>
              <w:snapToGrid w:val="0"/>
              <w:spacing w:line="240" w:lineRule="auto"/>
              <w:ind w:left="241"/>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6.2</w:t>
            </w:r>
          </w:p>
        </w:tc>
        <w:tc>
          <w:tcPr>
            <w:tcW w:w="2042" w:type="dxa"/>
            <w:gridSpan w:val="3"/>
            <w:vAlign w:val="center"/>
          </w:tcPr>
          <w:p w14:paraId="008C6B3B">
            <w:pPr>
              <w:pStyle w:val="31"/>
              <w:keepNext w:val="0"/>
              <w:keepLines w:val="0"/>
              <w:pageBreakBefore w:val="0"/>
              <w:widowControl/>
              <w:kinsoku/>
              <w:wordWrap/>
              <w:overflowPunct/>
              <w:topLinePunct w:val="0"/>
              <w:autoSpaceDE w:val="0"/>
              <w:autoSpaceDN w:val="0"/>
              <w:bidi w:val="0"/>
              <w:adjustRightInd w:val="0"/>
              <w:snapToGrid w:val="0"/>
              <w:spacing w:line="240" w:lineRule="auto"/>
              <w:ind w:left="15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val="en-US" w:eastAsia="zh-CN"/>
              </w:rPr>
              <w:t>磋商</w:t>
            </w:r>
            <w:r>
              <w:rPr>
                <w:rFonts w:hint="eastAsia" w:ascii="仿宋" w:hAnsi="仿宋" w:eastAsia="仿宋" w:cs="仿宋"/>
                <w:color w:val="auto"/>
                <w:spacing w:val="6"/>
                <w:sz w:val="22"/>
                <w:szCs w:val="22"/>
                <w:highlight w:val="none"/>
              </w:rPr>
              <w:t>方法及标准</w:t>
            </w:r>
          </w:p>
        </w:tc>
        <w:tc>
          <w:tcPr>
            <w:tcW w:w="6502" w:type="dxa"/>
            <w:gridSpan w:val="3"/>
            <w:vAlign w:val="center"/>
          </w:tcPr>
          <w:p w14:paraId="5B298A77">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综合评分法</w:t>
            </w:r>
          </w:p>
        </w:tc>
      </w:tr>
      <w:tr w14:paraId="3E79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595" w:hRule="atLeast"/>
        </w:trPr>
        <w:tc>
          <w:tcPr>
            <w:tcW w:w="845" w:type="dxa"/>
            <w:vAlign w:val="center"/>
          </w:tcPr>
          <w:p w14:paraId="7FC36A5A">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05F3C6DA">
            <w:pPr>
              <w:pStyle w:val="31"/>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41D2A44B">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7.1</w:t>
            </w:r>
          </w:p>
        </w:tc>
        <w:tc>
          <w:tcPr>
            <w:tcW w:w="2042" w:type="dxa"/>
            <w:gridSpan w:val="3"/>
            <w:vAlign w:val="center"/>
          </w:tcPr>
          <w:p w14:paraId="66CE85A7">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382AEF6D">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5B19C153">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5E2C5E68">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政府采购合同备案</w:t>
            </w:r>
          </w:p>
          <w:p w14:paraId="5EE6BEE2">
            <w:pPr>
              <w:pStyle w:val="31"/>
              <w:keepNext w:val="0"/>
              <w:keepLines w:val="0"/>
              <w:pageBreakBefore w:val="0"/>
              <w:widowControl/>
              <w:kinsoku/>
              <w:wordWrap/>
              <w:overflowPunct/>
              <w:topLinePunct w:val="0"/>
              <w:autoSpaceDE w:val="0"/>
              <w:autoSpaceDN w:val="0"/>
              <w:bidi w:val="0"/>
              <w:adjustRightInd w:val="0"/>
              <w:snapToGrid w:val="0"/>
              <w:spacing w:line="240" w:lineRule="auto"/>
              <w:ind w:left="290" w:right="29" w:hanging="256"/>
              <w:jc w:val="left"/>
              <w:textAlignment w:val="baseline"/>
              <w:rPr>
                <w:rFonts w:hint="eastAsia" w:ascii="仿宋" w:hAnsi="仿宋" w:eastAsia="仿宋" w:cs="仿宋"/>
                <w:color w:val="auto"/>
                <w:sz w:val="22"/>
                <w:szCs w:val="22"/>
                <w:highlight w:val="none"/>
                <w:lang w:eastAsia="zh-CN"/>
              </w:rPr>
            </w:pPr>
          </w:p>
        </w:tc>
        <w:tc>
          <w:tcPr>
            <w:tcW w:w="6502" w:type="dxa"/>
            <w:gridSpan w:val="3"/>
            <w:vAlign w:val="center"/>
          </w:tcPr>
          <w:p w14:paraId="7DB7502C">
            <w:pPr>
              <w:pStyle w:val="31"/>
              <w:keepNext w:val="0"/>
              <w:keepLines w:val="0"/>
              <w:pageBreakBefore w:val="0"/>
              <w:widowControl/>
              <w:numPr>
                <w:ilvl w:val="0"/>
                <w:numId w:val="5"/>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在公告中标结果的同时，中标（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）人需持授权委托书领取中标（成交）通知书，中标（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）通知书发出之日起</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lang w:eastAsia="zh-CN"/>
              </w:rPr>
              <w:t>日内与采购人签订成交合同，如未在规定时间内领取中标（成交）通知书或未按</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lang w:eastAsia="zh-CN"/>
              </w:rPr>
              <w:t>文件规定时间内与采购人签订成交合同的视为自动放弃中标；</w:t>
            </w:r>
          </w:p>
          <w:p w14:paraId="3A64C562">
            <w:pPr>
              <w:pStyle w:val="31"/>
              <w:keepNext w:val="0"/>
              <w:keepLines w:val="0"/>
              <w:pageBreakBefore w:val="0"/>
              <w:widowControl/>
              <w:numPr>
                <w:ilvl w:val="0"/>
                <w:numId w:val="5"/>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）人与采购人签订合同后2个工作日内将合同原件送一份到代理公司，由代理公司送财政局办理备案和合同公告手续。</w:t>
            </w:r>
          </w:p>
        </w:tc>
      </w:tr>
      <w:tr w14:paraId="2F0D5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0" w:hRule="atLeast"/>
        </w:trPr>
        <w:tc>
          <w:tcPr>
            <w:tcW w:w="845" w:type="dxa"/>
            <w:vAlign w:val="center"/>
          </w:tcPr>
          <w:p w14:paraId="2AF03723">
            <w:pPr>
              <w:pStyle w:val="31"/>
              <w:keepNext w:val="0"/>
              <w:keepLines w:val="0"/>
              <w:pageBreakBefore w:val="0"/>
              <w:widowControl/>
              <w:kinsoku/>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75EDA37D">
            <w:pPr>
              <w:pStyle w:val="31"/>
              <w:keepNext w:val="0"/>
              <w:keepLines w:val="0"/>
              <w:pageBreakBefore w:val="0"/>
              <w:widowControl/>
              <w:kinsoku/>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8.1</w:t>
            </w:r>
          </w:p>
        </w:tc>
        <w:tc>
          <w:tcPr>
            <w:tcW w:w="2042" w:type="dxa"/>
            <w:gridSpan w:val="3"/>
            <w:vAlign w:val="center"/>
          </w:tcPr>
          <w:p w14:paraId="495C9FCB">
            <w:pPr>
              <w:pStyle w:val="31"/>
              <w:keepNext w:val="0"/>
              <w:keepLines w:val="0"/>
              <w:pageBreakBefore w:val="0"/>
              <w:widowControl/>
              <w:kinsoku/>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322C3F36">
            <w:pPr>
              <w:pStyle w:val="31"/>
              <w:keepNext w:val="0"/>
              <w:keepLines w:val="0"/>
              <w:pageBreakBefore w:val="0"/>
              <w:widowControl/>
              <w:kinsoku/>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需要补充的其他内</w:t>
            </w:r>
            <w:r>
              <w:rPr>
                <w:rFonts w:hint="eastAsia" w:ascii="仿宋" w:hAnsi="仿宋" w:eastAsia="仿宋" w:cs="仿宋"/>
                <w:color w:val="auto"/>
                <w:sz w:val="22"/>
                <w:szCs w:val="22"/>
                <w:highlight w:val="none"/>
              </w:rPr>
              <w:t>容</w:t>
            </w:r>
          </w:p>
        </w:tc>
        <w:tc>
          <w:tcPr>
            <w:tcW w:w="6502" w:type="dxa"/>
            <w:gridSpan w:val="3"/>
            <w:vAlign w:val="center"/>
          </w:tcPr>
          <w:p w14:paraId="2F8B0249">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b/>
                <w:bCs/>
                <w:color w:val="auto"/>
                <w:sz w:val="22"/>
                <w:szCs w:val="22"/>
                <w:highlight w:val="none"/>
                <w:lang w:val="en-US" w:eastAsia="zh-CN"/>
              </w:rPr>
              <w:t>中标公告</w:t>
            </w:r>
            <w:r>
              <w:rPr>
                <w:rFonts w:hint="eastAsia" w:ascii="仿宋" w:hAnsi="仿宋" w:eastAsia="仿宋" w:cs="仿宋"/>
                <w:color w:val="auto"/>
                <w:sz w:val="22"/>
                <w:szCs w:val="22"/>
                <w:highlight w:val="none"/>
                <w:lang w:val="en-US" w:eastAsia="zh-CN"/>
              </w:rPr>
              <w:t>：中标公告期限为1个工作日，采购人确定中标人后在贵州省政府采购网、遵义市公共资源交易中心网进行公告。</w:t>
            </w:r>
          </w:p>
          <w:p w14:paraId="3865DE15">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b/>
                <w:bCs/>
                <w:color w:val="auto"/>
                <w:sz w:val="22"/>
                <w:szCs w:val="22"/>
                <w:highlight w:val="none"/>
                <w:lang w:val="en-US" w:eastAsia="zh-CN"/>
              </w:rPr>
              <w:t>监督：</w:t>
            </w:r>
            <w:r>
              <w:rPr>
                <w:rFonts w:hint="eastAsia" w:ascii="仿宋" w:hAnsi="仿宋" w:eastAsia="仿宋" w:cs="仿宋"/>
                <w:color w:val="auto"/>
                <w:sz w:val="22"/>
                <w:szCs w:val="22"/>
                <w:highlight w:val="none"/>
                <w:lang w:val="en-US" w:eastAsia="zh-CN"/>
              </w:rPr>
              <w:t>本项目的招标投标活动及其相关当事人应当接受有管辖权的财政部门或行政监督部门依法实施的监督。该项目监督部门为</w:t>
            </w:r>
            <w:r>
              <w:rPr>
                <w:rFonts w:hint="eastAsia" w:cs="仿宋"/>
                <w:color w:val="auto"/>
                <w:sz w:val="22"/>
                <w:szCs w:val="22"/>
                <w:highlight w:val="none"/>
                <w:lang w:val="en-US" w:eastAsia="zh-CN"/>
              </w:rPr>
              <w:t>仁怀市财政局</w:t>
            </w:r>
            <w:r>
              <w:rPr>
                <w:rFonts w:hint="eastAsia" w:ascii="仿宋" w:hAnsi="仿宋" w:eastAsia="仿宋" w:cs="仿宋"/>
                <w:color w:val="auto"/>
                <w:sz w:val="22"/>
                <w:szCs w:val="22"/>
                <w:highlight w:val="none"/>
                <w:lang w:val="en-US" w:eastAsia="zh-CN"/>
              </w:rPr>
              <w:t>。</w:t>
            </w:r>
          </w:p>
          <w:p w14:paraId="6AE35967">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论供应商是否中标，不得有串通投标、以他人名义投标、出让或者出租资格和资质证书供他人投标的行为；不得有提供虚假的许可证件、财务状况、人员简历、劳动关系证明、信用状况、获奖项目等一切证明材料骗取中标的行为。</w:t>
            </w:r>
          </w:p>
          <w:p w14:paraId="26E7CA87">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4、供应商对投标文件内容的合法性、真实性、完整性负有无条件证明的义务；评标结束后，采购人有权核实供应商投标提供投标资料真实性。</w:t>
            </w:r>
          </w:p>
          <w:p w14:paraId="74512BFD">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5、采购文件前后不一致或有矛盾的地方，以供应商须知前附表为准。</w:t>
            </w:r>
          </w:p>
          <w:p w14:paraId="54D7E5F0">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6、履约保证金：不要求。</w:t>
            </w:r>
          </w:p>
          <w:p w14:paraId="5BF45617">
            <w:pPr>
              <w:pStyle w:val="31"/>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p>
        </w:tc>
      </w:tr>
    </w:tbl>
    <w:p w14:paraId="21F757B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pPr>
    </w:p>
    <w:p w14:paraId="05F72F2E">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sectPr>
          <w:footerReference r:id="rId3" w:type="default"/>
          <w:pgSz w:w="11905" w:h="16838"/>
          <w:pgMar w:top="850" w:right="1134" w:bottom="850" w:left="1134" w:header="0" w:footer="782" w:gutter="0"/>
          <w:pgNumType w:fmt="decimal" w:start="1"/>
          <w:cols w:space="0" w:num="1"/>
          <w:rtlGutter w:val="0"/>
          <w:docGrid w:linePitch="0" w:charSpace="0"/>
        </w:sectPr>
      </w:pPr>
    </w:p>
    <w:p w14:paraId="1240D240">
      <w:pPr>
        <w:pStyle w:val="4"/>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2" w:name="_Toc25004"/>
      <w:r>
        <w:rPr>
          <w:rFonts w:hint="eastAsia" w:ascii="仿宋" w:hAnsi="仿宋" w:eastAsia="仿宋" w:cs="仿宋"/>
          <w:color w:val="auto"/>
          <w:highlight w:val="none"/>
          <w:lang w:eastAsia="zh-CN"/>
        </w:rPr>
        <w:t>第二章采购范围</w:t>
      </w:r>
      <w:bookmarkEnd w:id="2"/>
    </w:p>
    <w:p w14:paraId="5540AFC6">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3" w:name="_Toc4032"/>
      <w:r>
        <w:rPr>
          <w:rFonts w:hint="eastAsia" w:ascii="仿宋" w:hAnsi="仿宋" w:eastAsia="仿宋" w:cs="仿宋"/>
          <w:color w:val="auto"/>
          <w:highlight w:val="none"/>
          <w:lang w:eastAsia="zh-CN"/>
        </w:rPr>
        <w:t>第一节采购项目概述</w:t>
      </w:r>
      <w:bookmarkEnd w:id="3"/>
    </w:p>
    <w:p w14:paraId="62F7A86D">
      <w:pPr>
        <w:pStyle w:val="9"/>
        <w:widowControl/>
        <w:kinsoku/>
        <w:topLinePunct w:val="0"/>
        <w:autoSpaceDE w:val="0"/>
        <w:autoSpaceDN w:val="0"/>
        <w:bidi w:val="0"/>
        <w:adjustRightInd w:val="0"/>
        <w:snapToGrid w:val="0"/>
        <w:spacing w:before="113" w:line="222" w:lineRule="auto"/>
        <w:ind w:left="2"/>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一、项目概述</w:t>
      </w:r>
    </w:p>
    <w:p w14:paraId="0995A34A">
      <w:pPr>
        <w:pStyle w:val="9"/>
        <w:widowControl/>
        <w:kinsoku/>
        <w:topLinePunct w:val="0"/>
        <w:autoSpaceDE w:val="0"/>
        <w:autoSpaceDN w:val="0"/>
        <w:bidi w:val="0"/>
        <w:adjustRightInd w:val="0"/>
        <w:snapToGrid w:val="0"/>
        <w:spacing w:before="78" w:line="280" w:lineRule="auto"/>
        <w:ind w:firstLine="489"/>
        <w:jc w:val="both"/>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5"/>
          <w:sz w:val="22"/>
          <w:szCs w:val="22"/>
          <w:highlight w:val="none"/>
          <w:lang w:eastAsia="zh-CN"/>
        </w:rPr>
        <w:t>1.本项目为</w:t>
      </w:r>
      <w:r>
        <w:rPr>
          <w:rFonts w:hint="eastAsia" w:cs="仿宋"/>
          <w:color w:val="auto"/>
          <w:spacing w:val="-5"/>
          <w:sz w:val="22"/>
          <w:szCs w:val="22"/>
          <w:highlight w:val="none"/>
          <w:u w:val="single"/>
          <w:lang w:val="en-US" w:eastAsia="zh-CN"/>
        </w:rPr>
        <w:t>仁怀市茅台镇机关食堂餐饮服务采购项目</w:t>
      </w:r>
      <w:r>
        <w:rPr>
          <w:rFonts w:hint="eastAsia" w:ascii="仿宋" w:hAnsi="仿宋" w:eastAsia="仿宋" w:cs="仿宋"/>
          <w:color w:val="auto"/>
          <w:spacing w:val="-1"/>
          <w:sz w:val="22"/>
          <w:szCs w:val="22"/>
          <w:highlight w:val="none"/>
          <w:lang w:eastAsia="zh-CN"/>
        </w:rPr>
        <w:t>，具体采购内</w:t>
      </w:r>
      <w:r>
        <w:rPr>
          <w:rFonts w:hint="eastAsia" w:ascii="仿宋" w:hAnsi="仿宋" w:eastAsia="仿宋" w:cs="仿宋"/>
          <w:color w:val="auto"/>
          <w:spacing w:val="-2"/>
          <w:sz w:val="22"/>
          <w:szCs w:val="22"/>
          <w:highlight w:val="none"/>
          <w:lang w:eastAsia="zh-CN"/>
        </w:rPr>
        <w:t>容详见采购需求及商务要求部</w:t>
      </w:r>
      <w:r>
        <w:rPr>
          <w:rFonts w:hint="eastAsia" w:ascii="仿宋" w:hAnsi="仿宋" w:eastAsia="仿宋" w:cs="仿宋"/>
          <w:color w:val="auto"/>
          <w:spacing w:val="-9"/>
          <w:sz w:val="22"/>
          <w:szCs w:val="22"/>
          <w:highlight w:val="none"/>
          <w:lang w:eastAsia="zh-CN"/>
        </w:rPr>
        <w:t>分。</w:t>
      </w:r>
    </w:p>
    <w:p w14:paraId="2166F525">
      <w:pPr>
        <w:pStyle w:val="9"/>
        <w:widowControl/>
        <w:kinsoku/>
        <w:topLinePunct w:val="0"/>
        <w:autoSpaceDE w:val="0"/>
        <w:autoSpaceDN w:val="0"/>
        <w:bidi w:val="0"/>
        <w:adjustRightInd w:val="0"/>
        <w:snapToGrid w:val="0"/>
        <w:spacing w:before="78" w:line="399" w:lineRule="auto"/>
        <w:ind w:left="474"/>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2.采购方式：</w:t>
      </w:r>
      <w:r>
        <w:rPr>
          <w:rFonts w:hint="eastAsia" w:ascii="仿宋" w:hAnsi="仿宋" w:eastAsia="仿宋" w:cs="仿宋"/>
          <w:color w:val="auto"/>
          <w:spacing w:val="-1"/>
          <w:sz w:val="22"/>
          <w:szCs w:val="22"/>
          <w:highlight w:val="none"/>
          <w:u w:val="single"/>
          <w:lang w:eastAsia="zh-CN"/>
        </w:rPr>
        <w:t>竞争性磋商</w:t>
      </w:r>
      <w:r>
        <w:rPr>
          <w:rFonts w:hint="eastAsia" w:ascii="仿宋" w:hAnsi="仿宋" w:eastAsia="仿宋" w:cs="仿宋"/>
          <w:color w:val="auto"/>
          <w:spacing w:val="-1"/>
          <w:sz w:val="22"/>
          <w:szCs w:val="22"/>
          <w:highlight w:val="none"/>
          <w:lang w:eastAsia="zh-CN"/>
        </w:rPr>
        <w:t>。</w:t>
      </w:r>
    </w:p>
    <w:p w14:paraId="71BE4432">
      <w:pPr>
        <w:pStyle w:val="9"/>
        <w:widowControl/>
        <w:kinsoku/>
        <w:topLinePunct w:val="0"/>
        <w:autoSpaceDE w:val="0"/>
        <w:autoSpaceDN w:val="0"/>
        <w:bidi w:val="0"/>
        <w:adjustRightInd w:val="0"/>
        <w:snapToGrid w:val="0"/>
        <w:spacing w:before="78" w:line="399" w:lineRule="auto"/>
        <w:ind w:left="474"/>
        <w:rPr>
          <w:rFonts w:hint="eastAsia" w:ascii="仿宋" w:hAnsi="仿宋" w:eastAsia="仿宋" w:cs="仿宋"/>
          <w:color w:val="auto"/>
          <w:spacing w:val="-1"/>
          <w:sz w:val="22"/>
          <w:szCs w:val="22"/>
          <w:highlight w:val="none"/>
          <w:lang w:eastAsia="zh-CN"/>
        </w:rPr>
      </w:pPr>
      <w:r>
        <w:rPr>
          <w:rFonts w:hint="eastAsia" w:cs="仿宋"/>
          <w:color w:val="auto"/>
          <w:spacing w:val="-1"/>
          <w:sz w:val="22"/>
          <w:szCs w:val="22"/>
          <w:highlight w:val="none"/>
          <w:lang w:val="en-US" w:eastAsia="zh-CN"/>
        </w:rPr>
        <w:t>3.本项目所属行</w:t>
      </w:r>
      <w:r>
        <w:rPr>
          <w:rFonts w:hint="eastAsia" w:cs="仿宋"/>
          <w:color w:val="auto"/>
          <w:spacing w:val="-1"/>
          <w:sz w:val="22"/>
          <w:szCs w:val="22"/>
          <w:highlight w:val="none"/>
          <w:lang w:val="en-US" w:eastAsia="zh-CN"/>
        </w:rPr>
        <w:t>业：</w:t>
      </w:r>
      <w:r>
        <w:rPr>
          <w:rFonts w:hint="eastAsia" w:ascii="仿宋" w:hAnsi="仿宋" w:eastAsia="仿宋" w:cs="仿宋"/>
          <w:b/>
          <w:bCs/>
          <w:color w:val="auto"/>
          <w:spacing w:val="-1"/>
          <w:sz w:val="22"/>
          <w:szCs w:val="22"/>
          <w:highlight w:val="none"/>
          <w:u w:val="single"/>
          <w:lang w:eastAsia="zh-CN"/>
        </w:rPr>
        <w:t>其他未列明行业</w:t>
      </w:r>
      <w:r>
        <w:rPr>
          <w:rFonts w:hint="eastAsia" w:cs="仿宋"/>
          <w:color w:val="auto"/>
          <w:spacing w:val="-1"/>
          <w:sz w:val="22"/>
          <w:szCs w:val="22"/>
          <w:highlight w:val="none"/>
          <w:u w:val="none"/>
          <w:lang w:eastAsia="zh-CN"/>
        </w:rPr>
        <w:t>。</w:t>
      </w:r>
    </w:p>
    <w:p w14:paraId="01F4D0E6">
      <w:pPr>
        <w:pStyle w:val="9"/>
        <w:widowControl/>
        <w:kinsoku/>
        <w:topLinePunct w:val="0"/>
        <w:autoSpaceDE w:val="0"/>
        <w:autoSpaceDN w:val="0"/>
        <w:bidi w:val="0"/>
        <w:adjustRightInd w:val="0"/>
        <w:snapToGrid w:val="0"/>
        <w:spacing w:before="1" w:line="221" w:lineRule="auto"/>
        <w:ind w:left="6"/>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二、资金来源</w:t>
      </w:r>
    </w:p>
    <w:p w14:paraId="544FA3D5">
      <w:pPr>
        <w:pStyle w:val="9"/>
        <w:widowControl/>
        <w:kinsoku/>
        <w:topLinePunct w:val="0"/>
        <w:autoSpaceDE w:val="0"/>
        <w:autoSpaceDN w:val="0"/>
        <w:bidi w:val="0"/>
        <w:adjustRightInd w:val="0"/>
        <w:snapToGrid w:val="0"/>
        <w:spacing w:before="78" w:line="279" w:lineRule="auto"/>
        <w:ind w:left="1" w:right="100" w:firstLine="478"/>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本项目资金来源为</w:t>
      </w:r>
      <w:r>
        <w:rPr>
          <w:rFonts w:hint="eastAsia" w:ascii="仿宋" w:hAnsi="仿宋" w:eastAsia="仿宋" w:cs="仿宋"/>
          <w:color w:val="auto"/>
          <w:spacing w:val="1"/>
          <w:sz w:val="22"/>
          <w:szCs w:val="22"/>
          <w:highlight w:val="none"/>
          <w:u w:val="single"/>
          <w:lang w:eastAsia="zh-CN"/>
        </w:rPr>
        <w:t>财政资金</w:t>
      </w:r>
      <w:r>
        <w:rPr>
          <w:rFonts w:hint="eastAsia" w:ascii="仿宋" w:hAnsi="仿宋" w:eastAsia="仿宋" w:cs="仿宋"/>
          <w:color w:val="auto"/>
          <w:spacing w:val="1"/>
          <w:sz w:val="22"/>
          <w:szCs w:val="22"/>
          <w:highlight w:val="none"/>
          <w:lang w:eastAsia="zh-CN"/>
        </w:rPr>
        <w:t>。项目采购预算（最高限价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pacing w:val="53"/>
          <w:sz w:val="22"/>
          <w:szCs w:val="22"/>
          <w:highlight w:val="none"/>
          <w:u w:val="none"/>
          <w:lang w:val="en-US" w:eastAsia="zh-CN"/>
        </w:rPr>
        <w:t>：</w:t>
      </w:r>
      <w:r>
        <w:rPr>
          <w:rFonts w:hint="eastAsia" w:cs="仿宋"/>
          <w:color w:val="auto"/>
          <w:spacing w:val="53"/>
          <w:sz w:val="22"/>
          <w:szCs w:val="22"/>
          <w:highlight w:val="none"/>
          <w:u w:val="none"/>
          <w:lang w:val="en-US" w:eastAsia="zh-CN"/>
        </w:rPr>
        <w:t>总价</w:t>
      </w:r>
      <w:r>
        <w:rPr>
          <w:rFonts w:hint="eastAsia" w:cs="仿宋"/>
          <w:snapToGrid w:val="0"/>
          <w:color w:val="auto"/>
          <w:sz w:val="22"/>
          <w:szCs w:val="22"/>
          <w:highlight w:val="none"/>
          <w:u w:val="single"/>
          <w:lang w:val="en-US" w:eastAsia="zh-CN" w:bidi="ar-SA"/>
        </w:rPr>
        <w:t>120万元/年；餐标价：早餐 11 元</w:t>
      </w:r>
      <w:r>
        <w:rPr>
          <w:rFonts w:hint="eastAsia" w:cs="仿宋"/>
          <w:snapToGrid w:val="0"/>
          <w:color w:val="auto"/>
          <w:sz w:val="22"/>
          <w:szCs w:val="22"/>
          <w:highlight w:val="none"/>
          <w:u w:val="single"/>
          <w:lang w:val="en-US" w:eastAsia="zh-CN" w:bidi="ar-SA"/>
        </w:rPr>
        <w:t>/人/天</w:t>
      </w:r>
      <w:r>
        <w:rPr>
          <w:rFonts w:hint="eastAsia" w:cs="仿宋"/>
          <w:snapToGrid w:val="0"/>
          <w:color w:val="auto"/>
          <w:sz w:val="22"/>
          <w:szCs w:val="22"/>
          <w:highlight w:val="none"/>
          <w:u w:val="single"/>
          <w:lang w:val="en-US" w:eastAsia="zh-CN" w:bidi="ar-SA"/>
        </w:rPr>
        <w:t>、午餐</w:t>
      </w:r>
      <w:r>
        <w:rPr>
          <w:rFonts w:hint="eastAsia" w:cs="仿宋"/>
          <w:snapToGrid w:val="0"/>
          <w:color w:val="auto"/>
          <w:sz w:val="22"/>
          <w:szCs w:val="22"/>
          <w:highlight w:val="none"/>
          <w:u w:val="single"/>
          <w:lang w:val="en-US" w:eastAsia="zh-CN" w:bidi="ar-SA"/>
        </w:rPr>
        <w:t>或</w:t>
      </w:r>
      <w:r>
        <w:rPr>
          <w:rFonts w:hint="eastAsia" w:cs="仿宋"/>
          <w:snapToGrid w:val="0"/>
          <w:color w:val="auto"/>
          <w:sz w:val="22"/>
          <w:szCs w:val="22"/>
          <w:highlight w:val="none"/>
          <w:u w:val="single"/>
          <w:lang w:val="en-US" w:eastAsia="zh-CN" w:bidi="ar-SA"/>
        </w:rPr>
        <w:t xml:space="preserve">晚餐 16 </w:t>
      </w:r>
      <w:r>
        <w:rPr>
          <w:rFonts w:hint="eastAsia" w:cs="仿宋"/>
          <w:snapToGrid w:val="0"/>
          <w:color w:val="auto"/>
          <w:sz w:val="22"/>
          <w:szCs w:val="22"/>
          <w:highlight w:val="none"/>
          <w:u w:val="single"/>
          <w:lang w:val="en-US" w:eastAsia="zh-CN" w:bidi="ar-SA"/>
        </w:rPr>
        <w:t>元/人/天</w:t>
      </w:r>
      <w:r>
        <w:rPr>
          <w:rFonts w:hint="eastAsia" w:ascii="仿宋" w:hAnsi="仿宋" w:eastAsia="仿宋" w:cs="仿宋"/>
          <w:color w:val="auto"/>
          <w:spacing w:val="53"/>
          <w:sz w:val="22"/>
          <w:szCs w:val="22"/>
          <w:highlight w:val="none"/>
          <w:u w:val="none"/>
          <w:lang w:val="en-US" w:eastAsia="zh-CN"/>
        </w:rPr>
        <w:t>。</w:t>
      </w:r>
    </w:p>
    <w:p w14:paraId="79F0EEF0">
      <w:pPr>
        <w:pStyle w:val="9"/>
        <w:widowControl/>
        <w:kinsoku/>
        <w:topLinePunct w:val="0"/>
        <w:autoSpaceDE w:val="0"/>
        <w:autoSpaceDN w:val="0"/>
        <w:bidi w:val="0"/>
        <w:adjustRightInd w:val="0"/>
        <w:snapToGrid w:val="0"/>
        <w:spacing w:before="78" w:line="279" w:lineRule="auto"/>
        <w:ind w:left="1" w:right="100"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lang w:eastAsia="zh-CN"/>
        </w:rPr>
        <w:t>注：</w:t>
      </w:r>
      <w:r>
        <w:rPr>
          <w:rFonts w:hint="eastAsia" w:ascii="仿宋" w:hAnsi="仿宋" w:eastAsia="仿宋" w:cs="仿宋"/>
          <w:b/>
          <w:bCs/>
          <w:color w:val="auto"/>
          <w:spacing w:val="-2"/>
          <w:sz w:val="22"/>
          <w:szCs w:val="22"/>
          <w:highlight w:val="none"/>
          <w:lang w:val="en-US" w:eastAsia="zh-CN"/>
        </w:rPr>
        <w:t>最高限价</w:t>
      </w:r>
      <w:r>
        <w:rPr>
          <w:rFonts w:hint="eastAsia" w:ascii="仿宋" w:hAnsi="仿宋" w:eastAsia="仿宋" w:cs="仿宋"/>
          <w:b/>
          <w:bCs/>
          <w:color w:val="auto"/>
          <w:spacing w:val="-2"/>
          <w:sz w:val="22"/>
          <w:szCs w:val="22"/>
          <w:highlight w:val="none"/>
          <w:lang w:eastAsia="zh-CN"/>
        </w:rPr>
        <w:t>为往年经验估计数据，结算时以实际用量为准。</w:t>
      </w:r>
      <w:r>
        <w:rPr>
          <w:rFonts w:hint="eastAsia" w:ascii="仿宋" w:hAnsi="仿宋" w:eastAsia="仿宋" w:cs="仿宋"/>
          <w:color w:val="auto"/>
          <w:spacing w:val="-1"/>
          <w:sz w:val="22"/>
          <w:szCs w:val="22"/>
          <w:highlight w:val="none"/>
          <w:lang w:eastAsia="zh-CN"/>
        </w:rPr>
        <w:t>投标报价不得超过采购文件规定</w:t>
      </w:r>
      <w:r>
        <w:rPr>
          <w:rFonts w:hint="eastAsia" w:ascii="仿宋" w:hAnsi="仿宋" w:eastAsia="仿宋" w:cs="仿宋"/>
          <w:color w:val="auto"/>
          <w:spacing w:val="-2"/>
          <w:sz w:val="22"/>
          <w:szCs w:val="22"/>
          <w:highlight w:val="none"/>
          <w:lang w:eastAsia="zh-CN"/>
        </w:rPr>
        <w:t>的最高限价</w:t>
      </w:r>
      <w:r>
        <w:rPr>
          <w:rFonts w:hint="eastAsia" w:cs="仿宋"/>
          <w:color w:val="auto"/>
          <w:spacing w:val="-2"/>
          <w:sz w:val="22"/>
          <w:szCs w:val="22"/>
          <w:highlight w:val="none"/>
          <w:lang w:val="en-US" w:eastAsia="zh-CN"/>
        </w:rPr>
        <w:t>总价及餐标价</w:t>
      </w:r>
      <w:r>
        <w:rPr>
          <w:rFonts w:hint="eastAsia" w:ascii="仿宋" w:hAnsi="仿宋" w:eastAsia="仿宋" w:cs="仿宋"/>
          <w:color w:val="auto"/>
          <w:spacing w:val="-2"/>
          <w:sz w:val="22"/>
          <w:szCs w:val="22"/>
          <w:highlight w:val="none"/>
          <w:lang w:eastAsia="zh-CN"/>
        </w:rPr>
        <w:t>，超</w:t>
      </w:r>
      <w:r>
        <w:rPr>
          <w:rFonts w:hint="eastAsia" w:ascii="仿宋" w:hAnsi="仿宋" w:eastAsia="仿宋" w:cs="仿宋"/>
          <w:color w:val="auto"/>
          <w:spacing w:val="-3"/>
          <w:sz w:val="22"/>
          <w:szCs w:val="22"/>
          <w:highlight w:val="none"/>
          <w:lang w:eastAsia="zh-CN"/>
        </w:rPr>
        <w:t>过的</w:t>
      </w:r>
      <w:r>
        <w:rPr>
          <w:rFonts w:hint="eastAsia" w:ascii="仿宋" w:hAnsi="仿宋" w:eastAsia="仿宋" w:cs="仿宋"/>
          <w:color w:val="auto"/>
          <w:spacing w:val="-3"/>
          <w:sz w:val="22"/>
          <w:szCs w:val="22"/>
          <w:highlight w:val="none"/>
          <w:lang w:val="en-US" w:eastAsia="zh-CN"/>
        </w:rPr>
        <w:t>按无效标</w:t>
      </w:r>
      <w:r>
        <w:rPr>
          <w:rFonts w:hint="eastAsia" w:ascii="仿宋" w:hAnsi="仿宋" w:eastAsia="仿宋" w:cs="仿宋"/>
          <w:color w:val="auto"/>
          <w:spacing w:val="-3"/>
          <w:sz w:val="22"/>
          <w:szCs w:val="22"/>
          <w:highlight w:val="none"/>
          <w:lang w:eastAsia="zh-CN"/>
        </w:rPr>
        <w:t>处理）</w:t>
      </w:r>
    </w:p>
    <w:p w14:paraId="389932A3">
      <w:pPr>
        <w:pStyle w:val="9"/>
        <w:widowControl/>
        <w:kinsoku/>
        <w:topLinePunct w:val="0"/>
        <w:autoSpaceDE w:val="0"/>
        <w:autoSpaceDN w:val="0"/>
        <w:bidi w:val="0"/>
        <w:adjustRightInd w:val="0"/>
        <w:snapToGrid w:val="0"/>
        <w:spacing w:before="232" w:line="222" w:lineRule="auto"/>
        <w:ind w:left="5"/>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三、采购文件解释权</w:t>
      </w:r>
    </w:p>
    <w:p w14:paraId="08F88152">
      <w:pPr>
        <w:pStyle w:val="9"/>
        <w:widowControl/>
        <w:kinsoku/>
        <w:topLinePunct w:val="0"/>
        <w:autoSpaceDE w:val="0"/>
        <w:autoSpaceDN w:val="0"/>
        <w:bidi w:val="0"/>
        <w:adjustRightInd w:val="0"/>
        <w:snapToGrid w:val="0"/>
        <w:spacing w:before="112" w:line="398"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1"/>
          <w:sz w:val="22"/>
          <w:szCs w:val="22"/>
          <w:highlight w:val="none"/>
          <w:lang w:eastAsia="zh-CN"/>
        </w:rPr>
        <w:t>本项目采购文件的最终解释权归采购人。</w:t>
      </w:r>
    </w:p>
    <w:p w14:paraId="3881AE0D">
      <w:pPr>
        <w:pStyle w:val="9"/>
        <w:widowControl/>
        <w:kinsoku/>
        <w:topLinePunct w:val="0"/>
        <w:autoSpaceDE w:val="0"/>
        <w:autoSpaceDN w:val="0"/>
        <w:bidi w:val="0"/>
        <w:adjustRightInd w:val="0"/>
        <w:snapToGrid w:val="0"/>
        <w:spacing w:before="1" w:line="222" w:lineRule="auto"/>
        <w:ind w:left="2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四、采购人</w:t>
      </w:r>
    </w:p>
    <w:p w14:paraId="72FC28C6">
      <w:pPr>
        <w:pStyle w:val="9"/>
        <w:widowControl/>
        <w:kinsoku/>
        <w:topLinePunct w:val="0"/>
        <w:autoSpaceDE w:val="0"/>
        <w:autoSpaceDN w:val="0"/>
        <w:bidi w:val="0"/>
        <w:adjustRightInd w:val="0"/>
        <w:snapToGrid w:val="0"/>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1.采购人名称：</w:t>
      </w:r>
      <w:r>
        <w:rPr>
          <w:rFonts w:hint="eastAsia" w:cs="仿宋"/>
          <w:color w:val="auto"/>
          <w:spacing w:val="-2"/>
          <w:sz w:val="22"/>
          <w:szCs w:val="22"/>
          <w:highlight w:val="none"/>
          <w:u w:val="single"/>
          <w:lang w:val="en-US" w:eastAsia="zh-CN"/>
        </w:rPr>
        <w:t>仁怀市茅台镇人民政府</w:t>
      </w:r>
    </w:p>
    <w:p w14:paraId="535A1BDE">
      <w:pPr>
        <w:pStyle w:val="9"/>
        <w:widowControl/>
        <w:kinsoku/>
        <w:topLinePunct w:val="0"/>
        <w:autoSpaceDE w:val="0"/>
        <w:autoSpaceDN w:val="0"/>
        <w:bidi w:val="0"/>
        <w:adjustRightInd w:val="0"/>
        <w:snapToGrid w:val="0"/>
        <w:spacing w:before="1" w:line="360" w:lineRule="auto"/>
        <w:ind w:left="474"/>
        <w:rPr>
          <w:rFonts w:hint="eastAsia" w:cs="仿宋"/>
          <w:color w:val="auto"/>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2.地址：</w:t>
      </w:r>
      <w:r>
        <w:rPr>
          <w:rFonts w:hint="eastAsia" w:cs="仿宋"/>
          <w:color w:val="auto"/>
          <w:sz w:val="22"/>
          <w:szCs w:val="22"/>
          <w:highlight w:val="none"/>
          <w:u w:val="single"/>
          <w:lang w:val="en-US" w:eastAsia="zh-CN"/>
        </w:rPr>
        <w:t>仁怀市茅台镇杨柳湾社区</w:t>
      </w:r>
    </w:p>
    <w:p w14:paraId="47EB3030">
      <w:pPr>
        <w:pStyle w:val="32"/>
        <w:keepNext w:val="0"/>
        <w:keepLines w:val="0"/>
        <w:pageBreakBefore w:val="0"/>
        <w:widowControl/>
        <w:kinsoku/>
        <w:wordWrap/>
        <w:overflowPunct/>
        <w:topLinePunct w:val="0"/>
        <w:autoSpaceDE w:val="0"/>
        <w:autoSpaceDN w:val="0"/>
        <w:bidi w:val="0"/>
        <w:adjustRightInd w:val="0"/>
        <w:snapToGrid w:val="0"/>
        <w:spacing w:before="4" w:after="0" w:afterLines="20"/>
        <w:rPr>
          <w:rFonts w:hint="eastAsia" w:cs="仿宋"/>
          <w:color w:val="auto"/>
          <w:sz w:val="22"/>
          <w:szCs w:val="22"/>
          <w:highlight w:val="none"/>
          <w:u w:val="single"/>
          <w:lang w:val="en-US"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u w:val="single"/>
          <w:lang w:eastAsia="zh-CN"/>
        </w:rPr>
        <w:t>王</w:t>
      </w:r>
      <w:r>
        <w:rPr>
          <w:rFonts w:hint="eastAsia" w:ascii="仿宋" w:hAnsi="仿宋" w:eastAsia="仿宋" w:cs="仿宋"/>
          <w:color w:val="auto"/>
          <w:sz w:val="22"/>
          <w:szCs w:val="22"/>
          <w:highlight w:val="none"/>
          <w:u w:val="single"/>
          <w:lang w:val="en-US" w:eastAsia="zh-CN"/>
        </w:rPr>
        <w:t>主任</w:t>
      </w:r>
    </w:p>
    <w:p w14:paraId="1D062A66">
      <w:pPr>
        <w:pStyle w:val="9"/>
        <w:widowControl/>
        <w:kinsoku/>
        <w:topLinePunct w:val="0"/>
        <w:autoSpaceDE w:val="0"/>
        <w:autoSpaceDN w:val="0"/>
        <w:bidi w:val="0"/>
        <w:adjustRightInd w:val="0"/>
        <w:snapToGrid w:val="0"/>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.联系电话：</w:t>
      </w:r>
      <w:r>
        <w:rPr>
          <w:rFonts w:hint="eastAsia" w:cs="仿宋"/>
          <w:color w:val="auto"/>
          <w:sz w:val="22"/>
          <w:szCs w:val="22"/>
          <w:highlight w:val="none"/>
          <w:u w:val="single"/>
          <w:lang w:val="en-US" w:eastAsia="zh-CN"/>
        </w:rPr>
        <w:t>085122331308</w:t>
      </w:r>
    </w:p>
    <w:p w14:paraId="0D85B1C8">
      <w:pPr>
        <w:pStyle w:val="9"/>
        <w:widowControl/>
        <w:kinsoku/>
        <w:topLinePunct w:val="0"/>
        <w:autoSpaceDE w:val="0"/>
        <w:autoSpaceDN w:val="0"/>
        <w:bidi w:val="0"/>
        <w:adjustRightInd w:val="0"/>
        <w:snapToGrid w:val="0"/>
        <w:spacing w:before="112" w:line="308"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五、采购代理机构</w:t>
      </w:r>
    </w:p>
    <w:p w14:paraId="7C969307">
      <w:pPr>
        <w:pStyle w:val="9"/>
        <w:widowControl/>
        <w:kinsoku/>
        <w:topLinePunct w:val="0"/>
        <w:autoSpaceDE w:val="0"/>
        <w:autoSpaceDN w:val="0"/>
        <w:bidi w:val="0"/>
        <w:adjustRightInd w:val="0"/>
        <w:snapToGrid w:val="0"/>
        <w:spacing w:before="110" w:line="308" w:lineRule="auto"/>
        <w:ind w:left="489"/>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1.采购代理机构名称：</w:t>
      </w:r>
      <w:r>
        <w:rPr>
          <w:rFonts w:hint="eastAsia" w:cs="仿宋"/>
          <w:color w:val="auto"/>
          <w:spacing w:val="-2"/>
          <w:sz w:val="22"/>
          <w:szCs w:val="22"/>
          <w:highlight w:val="none"/>
          <w:u w:val="single"/>
          <w:lang w:eastAsia="zh-CN"/>
        </w:rPr>
        <w:t>贵州星博睿工程管理有限公司</w:t>
      </w:r>
    </w:p>
    <w:p w14:paraId="2F95D255">
      <w:pPr>
        <w:pStyle w:val="9"/>
        <w:widowControl/>
        <w:kinsoku/>
        <w:topLinePunct w:val="0"/>
        <w:autoSpaceDE w:val="0"/>
        <w:autoSpaceDN w:val="0"/>
        <w:bidi w:val="0"/>
        <w:adjustRightInd w:val="0"/>
        <w:snapToGrid w:val="0"/>
        <w:spacing w:before="1"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2.地址：</w:t>
      </w:r>
      <w:r>
        <w:rPr>
          <w:rFonts w:hint="eastAsia" w:cs="仿宋"/>
          <w:color w:val="auto"/>
          <w:sz w:val="22"/>
          <w:szCs w:val="22"/>
          <w:highlight w:val="none"/>
          <w:u w:val="single"/>
          <w:lang w:eastAsia="zh-CN"/>
        </w:rPr>
        <w:t>遵义市新蒲新区遵义金融商务中心3号楼13楼1307室</w:t>
      </w:r>
    </w:p>
    <w:p w14:paraId="335FD9D4">
      <w:pPr>
        <w:pStyle w:val="9"/>
        <w:widowControl/>
        <w:kinsoku/>
        <w:topLinePunct w:val="0"/>
        <w:autoSpaceDE w:val="0"/>
        <w:autoSpaceDN w:val="0"/>
        <w:bidi w:val="0"/>
        <w:adjustRightInd w:val="0"/>
        <w:snapToGrid w:val="0"/>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李先生</w:t>
      </w:r>
    </w:p>
    <w:p w14:paraId="6DEA1C63">
      <w:pPr>
        <w:pStyle w:val="9"/>
        <w:widowControl/>
        <w:kinsoku/>
        <w:topLinePunct w:val="0"/>
        <w:autoSpaceDE w:val="0"/>
        <w:autoSpaceDN w:val="0"/>
        <w:bidi w:val="0"/>
        <w:adjustRightInd w:val="0"/>
        <w:snapToGrid w:val="0"/>
        <w:spacing w:before="111" w:line="308" w:lineRule="auto"/>
        <w:ind w:left="470"/>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1"/>
          <w:sz w:val="22"/>
          <w:szCs w:val="22"/>
          <w:highlight w:val="none"/>
          <w:lang w:eastAsia="zh-CN"/>
        </w:rPr>
        <w:t>4.联系电话/传真：</w:t>
      </w:r>
      <w:r>
        <w:rPr>
          <w:rFonts w:hint="eastAsia" w:cs="仿宋"/>
          <w:color w:val="auto"/>
          <w:spacing w:val="-1"/>
          <w:sz w:val="22"/>
          <w:szCs w:val="22"/>
          <w:highlight w:val="none"/>
          <w:u w:val="single"/>
          <w:lang w:val="en-US" w:eastAsia="zh-CN"/>
        </w:rPr>
        <w:t>14785770440</w:t>
      </w:r>
    </w:p>
    <w:p w14:paraId="0AEB443E">
      <w:pPr>
        <w:pStyle w:val="9"/>
        <w:widowControl/>
        <w:kinsoku/>
        <w:topLinePunct w:val="0"/>
        <w:autoSpaceDE w:val="0"/>
        <w:autoSpaceDN w:val="0"/>
        <w:bidi w:val="0"/>
        <w:adjustRightInd w:val="0"/>
        <w:snapToGrid w:val="0"/>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六、监督部门</w:t>
      </w:r>
    </w:p>
    <w:p w14:paraId="43998D1D">
      <w:pPr>
        <w:pStyle w:val="9"/>
        <w:widowControl/>
        <w:kinsoku/>
        <w:topLinePunct w:val="0"/>
        <w:autoSpaceDE w:val="0"/>
        <w:autoSpaceDN w:val="0"/>
        <w:bidi w:val="0"/>
        <w:adjustRightInd w:val="0"/>
        <w:snapToGrid w:val="0"/>
        <w:spacing w:before="113" w:line="306" w:lineRule="auto"/>
        <w:ind w:left="48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1.监督部门：</w:t>
      </w:r>
      <w:r>
        <w:rPr>
          <w:rFonts w:hint="eastAsia" w:cs="仿宋"/>
          <w:color w:val="auto"/>
          <w:spacing w:val="-3"/>
          <w:sz w:val="22"/>
          <w:szCs w:val="22"/>
          <w:highlight w:val="none"/>
          <w:u w:val="single"/>
          <w:lang w:val="en-US" w:eastAsia="zh-CN"/>
        </w:rPr>
        <w:t>仁怀市财政局</w:t>
      </w:r>
    </w:p>
    <w:p w14:paraId="457717BA">
      <w:pPr>
        <w:pStyle w:val="9"/>
        <w:widowControl/>
        <w:kinsoku/>
        <w:topLinePunct w:val="0"/>
        <w:autoSpaceDE w:val="0"/>
        <w:autoSpaceDN w:val="0"/>
        <w:bidi w:val="0"/>
        <w:adjustRightInd w:val="0"/>
        <w:snapToGrid w:val="0"/>
        <w:spacing w:line="223" w:lineRule="auto"/>
        <w:ind w:left="474"/>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1"/>
          <w:sz w:val="22"/>
          <w:szCs w:val="22"/>
          <w:highlight w:val="none"/>
          <w:lang w:eastAsia="zh-CN"/>
        </w:rPr>
        <w:t>2.监督电话：</w:t>
      </w:r>
      <w:r>
        <w:rPr>
          <w:rFonts w:hint="eastAsia" w:cs="仿宋"/>
          <w:color w:val="auto"/>
          <w:spacing w:val="-1"/>
          <w:sz w:val="22"/>
          <w:szCs w:val="22"/>
          <w:highlight w:val="none"/>
          <w:u w:val="single"/>
          <w:lang w:eastAsia="zh-CN"/>
        </w:rPr>
        <w:t>0851-22220595</w:t>
      </w:r>
    </w:p>
    <w:p w14:paraId="45FA8913">
      <w:pPr>
        <w:pStyle w:val="9"/>
        <w:widowControl/>
        <w:kinsoku/>
        <w:topLinePunct w:val="0"/>
        <w:autoSpaceDE w:val="0"/>
        <w:autoSpaceDN w:val="0"/>
        <w:bidi w:val="0"/>
        <w:adjustRightInd w:val="0"/>
        <w:snapToGrid w:val="0"/>
        <w:spacing w:before="111" w:line="308" w:lineRule="auto"/>
        <w:ind w:left="476"/>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3.详细地址：</w:t>
      </w:r>
      <w:r>
        <w:rPr>
          <w:rFonts w:hint="eastAsia" w:cs="仿宋"/>
          <w:color w:val="auto"/>
          <w:spacing w:val="-2"/>
          <w:sz w:val="22"/>
          <w:szCs w:val="22"/>
          <w:highlight w:val="none"/>
          <w:u w:val="single"/>
          <w:lang w:val="en-US" w:eastAsia="zh-CN"/>
        </w:rPr>
        <w:t>仁怀市盐津街道办事处财审大楼</w:t>
      </w:r>
    </w:p>
    <w:p w14:paraId="37DFA216">
      <w:pPr>
        <w:pStyle w:val="9"/>
        <w:widowControl/>
        <w:kinsoku/>
        <w:topLinePunct w:val="0"/>
        <w:autoSpaceDE w:val="0"/>
        <w:autoSpaceDN w:val="0"/>
        <w:bidi w:val="0"/>
        <w:adjustRightInd w:val="0"/>
        <w:snapToGrid w:val="0"/>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六、其他说明：</w:t>
      </w:r>
    </w:p>
    <w:p w14:paraId="4DA6F0F0">
      <w:pPr>
        <w:pStyle w:val="9"/>
        <w:widowControl/>
        <w:kinsoku/>
        <w:topLinePunct w:val="0"/>
        <w:autoSpaceDE w:val="0"/>
        <w:autoSpaceDN w:val="0"/>
        <w:bidi w:val="0"/>
        <w:adjustRightInd w:val="0"/>
        <w:snapToGrid w:val="0"/>
        <w:spacing w:before="111" w:line="264" w:lineRule="auto"/>
        <w:ind w:right="43" w:firstLine="47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本采购文件中：采购人=</w:t>
      </w:r>
      <w:r>
        <w:rPr>
          <w:rFonts w:hint="eastAsia" w:ascii="仿宋" w:hAnsi="仿宋" w:eastAsia="仿宋" w:cs="仿宋"/>
          <w:color w:val="auto"/>
          <w:spacing w:val="-3"/>
          <w:sz w:val="22"/>
          <w:szCs w:val="22"/>
          <w:highlight w:val="none"/>
          <w:lang w:val="en-US" w:eastAsia="zh-CN"/>
        </w:rPr>
        <w:t>招标</w:t>
      </w:r>
      <w:r>
        <w:rPr>
          <w:rFonts w:hint="eastAsia" w:ascii="仿宋" w:hAnsi="仿宋" w:eastAsia="仿宋" w:cs="仿宋"/>
          <w:color w:val="auto"/>
          <w:spacing w:val="-3"/>
          <w:sz w:val="22"/>
          <w:szCs w:val="22"/>
          <w:highlight w:val="none"/>
          <w:lang w:eastAsia="zh-CN"/>
        </w:rPr>
        <w:t>人=谈判人=委托人、供应商=</w:t>
      </w:r>
      <w:r>
        <w:rPr>
          <w:rFonts w:hint="eastAsia" w:ascii="仿宋" w:hAnsi="仿宋" w:eastAsia="仿宋" w:cs="仿宋"/>
          <w:color w:val="auto"/>
          <w:spacing w:val="-3"/>
          <w:sz w:val="22"/>
          <w:szCs w:val="22"/>
          <w:highlight w:val="none"/>
          <w:lang w:val="en-US" w:eastAsia="zh-CN"/>
        </w:rPr>
        <w:t>投标人</w:t>
      </w:r>
      <w:r>
        <w:rPr>
          <w:rFonts w:hint="eastAsia" w:ascii="仿宋" w:hAnsi="仿宋" w:eastAsia="仿宋" w:cs="仿宋"/>
          <w:color w:val="auto"/>
          <w:spacing w:val="-3"/>
          <w:sz w:val="22"/>
          <w:szCs w:val="22"/>
          <w:highlight w:val="none"/>
          <w:lang w:eastAsia="zh-CN"/>
        </w:rPr>
        <w:t>=响应人=申请人、</w:t>
      </w:r>
      <w:r>
        <w:rPr>
          <w:rFonts w:hint="eastAsia" w:ascii="仿宋" w:hAnsi="仿宋" w:eastAsia="仿宋" w:cs="仿宋"/>
          <w:color w:val="auto"/>
          <w:spacing w:val="-2"/>
          <w:sz w:val="22"/>
          <w:szCs w:val="22"/>
          <w:highlight w:val="none"/>
          <w:lang w:eastAsia="zh-CN"/>
        </w:rPr>
        <w:t>采购文件=竞争性磋商采购文件=磋商文件</w:t>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pacing w:val="-3"/>
          <w:sz w:val="22"/>
          <w:szCs w:val="22"/>
          <w:highlight w:val="none"/>
          <w:lang w:val="en-US" w:eastAsia="zh-CN"/>
        </w:rPr>
        <w:t>招标文件</w:t>
      </w:r>
      <w:r>
        <w:rPr>
          <w:rFonts w:hint="eastAsia" w:ascii="仿宋" w:hAnsi="仿宋" w:eastAsia="仿宋" w:cs="仿宋"/>
          <w:color w:val="auto"/>
          <w:spacing w:val="-2"/>
          <w:sz w:val="22"/>
          <w:szCs w:val="22"/>
          <w:highlight w:val="none"/>
          <w:lang w:eastAsia="zh-CN"/>
        </w:rPr>
        <w:t>、投标文件=响应文件=申请文件。</w:t>
      </w:r>
    </w:p>
    <w:p w14:paraId="380A00B7">
      <w:pPr>
        <w:widowControl/>
        <w:kinsoku/>
        <w:topLinePunct w:val="0"/>
        <w:autoSpaceDE w:val="0"/>
        <w:autoSpaceDN w:val="0"/>
        <w:bidi w:val="0"/>
        <w:adjustRightInd w:val="0"/>
        <w:snapToGrid w:val="0"/>
        <w:spacing w:line="264" w:lineRule="auto"/>
        <w:rPr>
          <w:rFonts w:hint="eastAsia" w:ascii="仿宋" w:hAnsi="仿宋" w:eastAsia="仿宋" w:cs="仿宋"/>
          <w:color w:val="auto"/>
          <w:sz w:val="22"/>
          <w:szCs w:val="22"/>
          <w:highlight w:val="none"/>
          <w:lang w:eastAsia="zh-CN"/>
        </w:rPr>
        <w:sectPr>
          <w:footerReference r:id="rId4" w:type="default"/>
          <w:pgSz w:w="11905" w:h="16838"/>
          <w:pgMar w:top="850" w:right="1134" w:bottom="850" w:left="1134" w:header="0" w:footer="782" w:gutter="0"/>
          <w:pgNumType w:fmt="decimal"/>
          <w:cols w:space="0" w:num="1"/>
          <w:rtlGutter w:val="0"/>
          <w:docGrid w:linePitch="0" w:charSpace="0"/>
        </w:sectPr>
      </w:pPr>
    </w:p>
    <w:p w14:paraId="390D3FD9">
      <w:pPr>
        <w:widowControl/>
        <w:kinsoku/>
        <w:topLinePunct w:val="0"/>
        <w:autoSpaceDE w:val="0"/>
        <w:autoSpaceDN w:val="0"/>
        <w:bidi w:val="0"/>
        <w:adjustRightInd w:val="0"/>
        <w:snapToGrid w:val="0"/>
        <w:spacing w:line="270" w:lineRule="auto"/>
        <w:rPr>
          <w:rFonts w:hint="eastAsia" w:ascii="仿宋" w:hAnsi="仿宋" w:eastAsia="仿宋" w:cs="仿宋"/>
          <w:color w:val="auto"/>
          <w:sz w:val="20"/>
          <w:szCs w:val="20"/>
          <w:highlight w:val="none"/>
          <w:lang w:eastAsia="zh-CN"/>
        </w:rPr>
      </w:pPr>
    </w:p>
    <w:p w14:paraId="34E0B5F5">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4" w:name="_Toc19486"/>
      <w:r>
        <w:rPr>
          <w:rFonts w:hint="eastAsia" w:ascii="仿宋" w:hAnsi="仿宋" w:eastAsia="仿宋" w:cs="仿宋"/>
          <w:color w:val="auto"/>
          <w:highlight w:val="none"/>
          <w:lang w:eastAsia="zh-CN"/>
        </w:rPr>
        <w:t>第二节货物/服务要求</w:t>
      </w:r>
      <w:bookmarkEnd w:id="4"/>
    </w:p>
    <w:p w14:paraId="1CE15C0C">
      <w:pPr>
        <w:pStyle w:val="9"/>
        <w:widowControl/>
        <w:kinsoku/>
        <w:topLinePunct w:val="0"/>
        <w:autoSpaceDE w:val="0"/>
        <w:autoSpaceDN w:val="0"/>
        <w:bidi w:val="0"/>
        <w:adjustRightInd w:val="0"/>
        <w:snapToGrid w:val="0"/>
        <w:spacing w:before="291" w:line="221"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一、货物/服务范围</w:t>
      </w:r>
    </w:p>
    <w:p w14:paraId="287CEE52">
      <w:pPr>
        <w:pStyle w:val="9"/>
        <w:widowControl/>
        <w:kinsoku/>
        <w:topLinePunct w:val="0"/>
        <w:autoSpaceDE w:val="0"/>
        <w:autoSpaceDN w:val="0"/>
        <w:bidi w:val="0"/>
        <w:adjustRightInd w:val="0"/>
        <w:snapToGrid w:val="0"/>
        <w:spacing w:before="152" w:line="439" w:lineRule="exact"/>
        <w:ind w:firstLine="436" w:firstLineChars="200"/>
        <w:rPr>
          <w:rFonts w:hint="eastAsia" w:ascii="仿宋" w:hAnsi="仿宋" w:eastAsia="仿宋" w:cs="仿宋"/>
          <w:color w:val="auto"/>
          <w:spacing w:val="-1"/>
          <w:position w:val="14"/>
          <w:sz w:val="22"/>
          <w:szCs w:val="22"/>
          <w:highlight w:val="none"/>
          <w:lang w:eastAsia="zh-CN"/>
        </w:rPr>
      </w:pPr>
      <w:r>
        <w:rPr>
          <w:rFonts w:hint="eastAsia" w:ascii="仿宋" w:hAnsi="仿宋" w:eastAsia="仿宋" w:cs="仿宋"/>
          <w:color w:val="auto"/>
          <w:spacing w:val="-1"/>
          <w:position w:val="14"/>
          <w:sz w:val="22"/>
          <w:szCs w:val="22"/>
          <w:highlight w:val="none"/>
          <w:lang w:eastAsia="zh-CN"/>
        </w:rPr>
        <w:t>本项目采购的</w:t>
      </w:r>
      <w:r>
        <w:rPr>
          <w:rFonts w:hint="eastAsia" w:ascii="仿宋" w:hAnsi="仿宋" w:eastAsia="仿宋" w:cs="仿宋"/>
          <w:strike w:val="0"/>
          <w:dstrike/>
          <w:color w:val="auto"/>
          <w:spacing w:val="-1"/>
          <w:position w:val="14"/>
          <w:sz w:val="22"/>
          <w:szCs w:val="22"/>
          <w:highlight w:val="none"/>
          <w:lang w:eastAsia="zh-CN"/>
        </w:rPr>
        <w:t>货物/</w:t>
      </w:r>
      <w:r>
        <w:rPr>
          <w:rFonts w:hint="eastAsia" w:ascii="仿宋" w:hAnsi="仿宋" w:eastAsia="仿宋" w:cs="仿宋"/>
          <w:color w:val="auto"/>
          <w:spacing w:val="-1"/>
          <w:position w:val="14"/>
          <w:sz w:val="22"/>
          <w:szCs w:val="22"/>
          <w:highlight w:val="none"/>
          <w:lang w:eastAsia="zh-CN"/>
        </w:rPr>
        <w:t>服务范围要求为中国境内合法供应商提供的满足本采购文件要求的所有</w:t>
      </w:r>
      <w:r>
        <w:rPr>
          <w:rFonts w:hint="eastAsia" w:ascii="仿宋" w:hAnsi="仿宋" w:eastAsia="仿宋" w:cs="仿宋"/>
          <w:strike w:val="0"/>
          <w:dstrike/>
          <w:color w:val="auto"/>
          <w:spacing w:val="-1"/>
          <w:position w:val="14"/>
          <w:sz w:val="22"/>
          <w:szCs w:val="22"/>
          <w:highlight w:val="none"/>
          <w:lang w:eastAsia="zh-CN"/>
        </w:rPr>
        <w:t>货物/</w:t>
      </w:r>
      <w:r>
        <w:rPr>
          <w:rFonts w:hint="eastAsia" w:ascii="仿宋" w:hAnsi="仿宋" w:eastAsia="仿宋" w:cs="仿宋"/>
          <w:color w:val="auto"/>
          <w:spacing w:val="-1"/>
          <w:position w:val="14"/>
          <w:sz w:val="22"/>
          <w:szCs w:val="22"/>
          <w:highlight w:val="none"/>
          <w:lang w:eastAsia="zh-CN"/>
        </w:rPr>
        <w:t>服务。</w:t>
      </w:r>
    </w:p>
    <w:p w14:paraId="055D38B7">
      <w:pPr>
        <w:pStyle w:val="9"/>
        <w:widowControl/>
        <w:kinsoku/>
        <w:topLinePunct w:val="0"/>
        <w:autoSpaceDE w:val="0"/>
        <w:autoSpaceDN w:val="0"/>
        <w:bidi w:val="0"/>
        <w:adjustRightInd w:val="0"/>
        <w:snapToGrid w:val="0"/>
        <w:spacing w:before="154" w:line="221"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二、货物/服务须满足的规范、标准</w:t>
      </w:r>
    </w:p>
    <w:p w14:paraId="3EBD14EE">
      <w:pPr>
        <w:pStyle w:val="9"/>
        <w:widowControl/>
        <w:kinsoku/>
        <w:topLinePunct w:val="0"/>
        <w:autoSpaceDE w:val="0"/>
        <w:autoSpaceDN w:val="0"/>
        <w:bidi w:val="0"/>
        <w:adjustRightInd w:val="0"/>
        <w:snapToGrid w:val="0"/>
        <w:spacing w:before="151" w:line="221" w:lineRule="auto"/>
        <w:ind w:firstLine="436" w:firstLineChars="200"/>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val="en-US" w:eastAsia="zh-CN"/>
        </w:rPr>
        <w:t>执行有关机构最新颁布的国家标准和规范及采购人的标准</w:t>
      </w:r>
      <w:r>
        <w:rPr>
          <w:rFonts w:hint="eastAsia" w:ascii="仿宋" w:hAnsi="仿宋" w:eastAsia="仿宋" w:cs="仿宋"/>
          <w:color w:val="auto"/>
          <w:spacing w:val="-1"/>
          <w:sz w:val="22"/>
          <w:szCs w:val="22"/>
          <w:highlight w:val="none"/>
          <w:lang w:eastAsia="zh-CN"/>
        </w:rPr>
        <w:t>。</w:t>
      </w:r>
    </w:p>
    <w:p w14:paraId="65D65672">
      <w:pPr>
        <w:pStyle w:val="9"/>
        <w:widowControl/>
        <w:kinsoku/>
        <w:topLinePunct w:val="0"/>
        <w:autoSpaceDE w:val="0"/>
        <w:autoSpaceDN w:val="0"/>
        <w:bidi w:val="0"/>
        <w:adjustRightInd w:val="0"/>
        <w:snapToGrid w:val="0"/>
        <w:spacing w:before="152" w:line="220"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三、磋商小组根据与供应商磋商情况可能实质性变动的内容：/</w:t>
      </w:r>
    </w:p>
    <w:p w14:paraId="4539CA7F">
      <w:pPr>
        <w:pStyle w:val="9"/>
        <w:widowControl/>
        <w:numPr>
          <w:ilvl w:val="0"/>
          <w:numId w:val="0"/>
        </w:numPr>
        <w:kinsoku/>
        <w:topLinePunct w:val="0"/>
        <w:autoSpaceDE w:val="0"/>
        <w:autoSpaceDN w:val="0"/>
        <w:bidi w:val="0"/>
        <w:adjustRightInd w:val="0"/>
        <w:snapToGrid w:val="0"/>
        <w:spacing w:before="177" w:line="360" w:lineRule="auto"/>
        <w:rPr>
          <w:rFonts w:hint="eastAsia" w:cs="仿宋"/>
          <w:b/>
          <w:bCs/>
          <w:color w:val="auto"/>
          <w:spacing w:val="-2"/>
          <w:sz w:val="22"/>
          <w:szCs w:val="22"/>
          <w:highlight w:val="none"/>
          <w:lang w:val="en-US" w:eastAsia="zh-CN"/>
        </w:rPr>
      </w:pPr>
      <w:r>
        <w:rPr>
          <w:rFonts w:hint="eastAsia" w:cs="仿宋"/>
          <w:b/>
          <w:bCs/>
          <w:color w:val="auto"/>
          <w:spacing w:val="-2"/>
          <w:sz w:val="22"/>
          <w:szCs w:val="22"/>
          <w:highlight w:val="none"/>
          <w:lang w:val="en-US" w:eastAsia="zh-CN"/>
        </w:rPr>
        <w:t>四、报价要求</w:t>
      </w:r>
    </w:p>
    <w:p w14:paraId="09420D66">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（1）报价形式：固定单价报价。 (注:①报价含食材、人工、税费、保险费、利润、管理费等全包价。②采购人不保证成交供应商最终结算金额与成交金额一致，以实际发生量为准。 投标报价估算错误等引起的风险由投标人自行承担。</w:t>
      </w:r>
    </w:p>
    <w:p w14:paraId="3F778F22">
      <w:pPr>
        <w:pStyle w:val="9"/>
        <w:widowControl/>
        <w:numPr>
          <w:ilvl w:val="0"/>
          <w:numId w:val="0"/>
        </w:numPr>
        <w:kinsoku/>
        <w:topLinePunct w:val="0"/>
        <w:autoSpaceDE w:val="0"/>
        <w:autoSpaceDN w:val="0"/>
        <w:bidi w:val="0"/>
        <w:adjustRightInd w:val="0"/>
        <w:snapToGrid w:val="0"/>
        <w:spacing w:before="177" w:line="360" w:lineRule="auto"/>
        <w:ind w:firstLine="434" w:firstLineChars="200"/>
        <w:rPr>
          <w:rFonts w:hint="eastAsia" w:cs="仿宋"/>
          <w:b/>
          <w:bCs/>
          <w:color w:val="auto"/>
          <w:spacing w:val="-2"/>
          <w:sz w:val="22"/>
          <w:szCs w:val="22"/>
          <w:highlight w:val="none"/>
          <w:lang w:val="en-US" w:eastAsia="zh-CN"/>
        </w:rPr>
      </w:pPr>
      <w:r>
        <w:rPr>
          <w:rFonts w:hint="eastAsia" w:cs="仿宋"/>
          <w:b/>
          <w:bCs/>
          <w:color w:val="auto"/>
          <w:spacing w:val="-2"/>
          <w:sz w:val="22"/>
          <w:szCs w:val="22"/>
          <w:highlight w:val="none"/>
          <w:lang w:val="en-US" w:eastAsia="zh-CN"/>
        </w:rPr>
        <w:t>（2）本项目分两次报价： 第一轮报价为电子投标文件 （响应文件） 内的报价，第二轮报价为最终报价。文件内的报价只允许有一个报价，任何有选择的报价将不予接受，报价全部采用人民币表示。</w:t>
      </w:r>
    </w:p>
    <w:p w14:paraId="4D4A6D47">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注：①在评审过程中，评标委员会认为投标人的报价明显低于其他通过符合性审查的投标人的报价，有可能影响产品质量或者不能诚信履约的，应当要求其在评标现场合理的时间内（20 分钟）内 提供书面说明，必要时提交相关证明材料，相关证明材料是指：包括但不限于各类货物或原材料的买进成本、装卸费用、运输费用、合理损耗、仓储保管、保险、管理成本、所得税、增值税、教育附 加、地方教育附加、城建附加、印花税、进项抵扣、合理利润）及提供三年内2个类似低报价的成功项目案例资料（指前述相关各分 项的证明材料原件加招投标文件、中标通知书、采购合同、结算资 料、收款银行流水原件）佐证。</w:t>
      </w:r>
    </w:p>
    <w:p w14:paraId="78B0545D">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②投标人不能证明其报价合理性的，评标委员会应当将其作无效标处理。投标人书面说明应当按照国家财务会计制度的规定要求， 逐项就投标人提供的货物、工程和服务的主营业务成本（应根据投标人企业类型予以区别）、税金及附加、销售费用、管理费用、财 务费用等成本构成事项详细陈述。</w:t>
      </w:r>
    </w:p>
    <w:p w14:paraId="20F5F9B9">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③投标人书面说明应当签字确认或者加盖公章，否则无效。书 面说明的签字确认，投标人为法人的，由其法定代表人（负责人） 或者代理人签字确认；投标人为其他组织的，由其主要负责人或者 代理人签字确认；投标人为自然人的，由其本人或者代理人签字确 认。</w:t>
      </w:r>
    </w:p>
    <w:p w14:paraId="706D0DAE">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④投标人提供书面说明后，评标委员会应当结合采购项目采购 需求、专业实际情况、投标人提供的书面说明和相关证明材料、与 其他投标人比较情况等就投标人书面说明进行审查评价。投标人拒 绝或者变相拒绝提供有效书面说明或者书面说明不能证明其报价合 理性的，评标委员会应当将其投标文件作为无效标处理。</w:t>
      </w:r>
    </w:p>
    <w:p w14:paraId="0381163D">
      <w:pPr>
        <w:pStyle w:val="9"/>
        <w:widowControl/>
        <w:kinsoku/>
        <w:topLinePunct w:val="0"/>
        <w:autoSpaceDE w:val="0"/>
        <w:autoSpaceDN w:val="0"/>
        <w:bidi w:val="0"/>
        <w:adjustRightInd w:val="0"/>
        <w:snapToGrid w:val="0"/>
        <w:spacing w:before="155" w:line="222" w:lineRule="auto"/>
        <w:rPr>
          <w:rFonts w:hint="eastAsia" w:ascii="仿宋" w:hAnsi="仿宋" w:eastAsia="仿宋" w:cs="仿宋"/>
          <w:color w:val="auto"/>
          <w:spacing w:val="-2"/>
          <w:sz w:val="22"/>
          <w:szCs w:val="22"/>
          <w:highlight w:val="none"/>
          <w:lang w:eastAsia="zh-CN"/>
          <w14:textOutline w14:w="4356" w14:cap="sq" w14:cmpd="sng" w14:algn="ctr">
            <w14:solidFill>
              <w14:srgbClr w14:val="000000"/>
            </w14:solidFill>
            <w14:prstDash w14:val="solid"/>
            <w14:bevel/>
          </w14:textOutline>
        </w:rPr>
      </w:pPr>
    </w:p>
    <w:p w14:paraId="789055AE">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5" w:name="_Toc17120"/>
      <w:r>
        <w:rPr>
          <w:rFonts w:hint="eastAsia" w:ascii="仿宋" w:hAnsi="仿宋" w:eastAsia="仿宋" w:cs="仿宋"/>
          <w:color w:val="auto"/>
          <w:highlight w:val="none"/>
          <w:lang w:eastAsia="zh-CN"/>
        </w:rPr>
        <w:t>第三节供应商资格条件</w:t>
      </w:r>
      <w:bookmarkEnd w:id="5"/>
    </w:p>
    <w:p w14:paraId="08478B5F">
      <w:pPr>
        <w:pStyle w:val="9"/>
        <w:widowControl/>
        <w:kinsoku/>
        <w:topLinePunct w:val="0"/>
        <w:autoSpaceDE w:val="0"/>
        <w:autoSpaceDN w:val="0"/>
        <w:bidi w:val="0"/>
        <w:adjustRightInd w:val="0"/>
        <w:snapToGrid w:val="0"/>
        <w:spacing w:before="120" w:line="263" w:lineRule="auto"/>
        <w:ind w:left="3" w:right="65"/>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pacing w:val="-2"/>
          <w:sz w:val="22"/>
          <w:szCs w:val="22"/>
          <w:highlight w:val="none"/>
          <w:lang w:eastAsia="zh-CN"/>
        </w:rPr>
        <w:t>一、</w:t>
      </w:r>
      <w:r>
        <w:rPr>
          <w:rFonts w:hint="eastAsia" w:ascii="仿宋" w:hAnsi="仿宋" w:eastAsia="仿宋" w:cs="仿宋"/>
          <w:snapToGrid w:val="0"/>
          <w:color w:val="auto"/>
          <w:spacing w:val="-2"/>
          <w:sz w:val="22"/>
          <w:szCs w:val="22"/>
          <w:highlight w:val="none"/>
          <w:u w:val="none"/>
          <w:lang w:val="en-US" w:eastAsia="zh-CN" w:bidi="ar-SA"/>
        </w:rPr>
        <w:t>满足《中华人民共和国政府采购法》第二十二条规定：</w:t>
      </w:r>
    </w:p>
    <w:p w14:paraId="61FFA2AE">
      <w:pPr>
        <w:pStyle w:val="9"/>
        <w:keepNext w:val="0"/>
        <w:keepLines w:val="0"/>
        <w:pageBreakBefore w:val="0"/>
        <w:widowControl/>
        <w:kinsoku/>
        <w:wordWrap/>
        <w:overflowPunct/>
        <w:topLinePunct w:val="0"/>
        <w:autoSpaceDE w:val="0"/>
        <w:autoSpaceDN w:val="0"/>
        <w:bidi w:val="0"/>
        <w:adjustRightInd w:val="0"/>
        <w:snapToGrid w:val="0"/>
        <w:spacing w:before="1" w:line="360" w:lineRule="auto"/>
        <w:ind w:firstLine="432" w:firstLineChars="200"/>
        <w:textAlignment w:val="baseline"/>
        <w:rPr>
          <w:rFonts w:hint="eastAsia" w:ascii="仿宋" w:hAnsi="仿宋" w:eastAsia="仿宋" w:cs="仿宋"/>
          <w:color w:val="auto"/>
          <w:spacing w:val="-3"/>
          <w:sz w:val="22"/>
          <w:szCs w:val="22"/>
          <w:highlight w:val="none"/>
          <w:lang w:eastAsia="zh-CN"/>
        </w:rPr>
      </w:pPr>
      <w:r>
        <w:rPr>
          <w:rFonts w:hint="eastAsia" w:ascii="仿宋" w:hAnsi="仿宋" w:eastAsia="仿宋" w:cs="仿宋"/>
          <w:color w:val="auto"/>
          <w:spacing w:val="-2"/>
          <w:sz w:val="22"/>
          <w:szCs w:val="22"/>
          <w:highlight w:val="none"/>
          <w:lang w:eastAsia="zh-CN"/>
        </w:rPr>
        <w:t>（1）</w:t>
      </w:r>
      <w:r>
        <w:rPr>
          <w:rFonts w:hint="eastAsia" w:ascii="仿宋" w:hAnsi="仿宋" w:eastAsia="仿宋" w:cs="仿宋"/>
          <w:b/>
          <w:bCs/>
          <w:color w:val="auto"/>
          <w:spacing w:val="-2"/>
          <w:sz w:val="22"/>
          <w:szCs w:val="22"/>
          <w:highlight w:val="none"/>
          <w:lang w:eastAsia="zh-CN"/>
        </w:rPr>
        <w:t>具有独立承担民事责任的能力</w:t>
      </w:r>
      <w:r>
        <w:rPr>
          <w:rFonts w:hint="eastAsia" w:ascii="仿宋" w:hAnsi="仿宋" w:eastAsia="仿宋" w:cs="仿宋"/>
          <w:color w:val="auto"/>
          <w:spacing w:val="-2"/>
          <w:sz w:val="22"/>
          <w:szCs w:val="22"/>
          <w:highlight w:val="none"/>
          <w:lang w:eastAsia="zh-CN"/>
        </w:rPr>
        <w:t>：</w:t>
      </w:r>
      <w:r>
        <w:rPr>
          <w:rFonts w:hint="eastAsia" w:ascii="仿宋" w:hAnsi="仿宋" w:eastAsia="仿宋" w:cs="仿宋"/>
          <w:color w:val="auto"/>
          <w:spacing w:val="-2"/>
          <w:sz w:val="22"/>
          <w:szCs w:val="22"/>
          <w:highlight w:val="none"/>
          <w:u w:val="single"/>
          <w:lang w:val="en-US" w:eastAsia="zh-CN"/>
        </w:rPr>
        <w:t>供应商须在中华人民共和国境内注册，具有独立法人资格，持有合法有效的三证合一（营业执照、组织机构代码证、税务登记证）的营业执照（复印件加盖鲜章）</w:t>
      </w:r>
      <w:r>
        <w:rPr>
          <w:rFonts w:hint="eastAsia" w:ascii="仿宋" w:hAnsi="仿宋" w:eastAsia="仿宋" w:cs="仿宋"/>
          <w:color w:val="auto"/>
          <w:spacing w:val="-3"/>
          <w:sz w:val="22"/>
          <w:szCs w:val="22"/>
          <w:highlight w:val="none"/>
          <w:u w:val="single"/>
          <w:lang w:eastAsia="zh-CN"/>
        </w:rPr>
        <w:t>；</w:t>
      </w:r>
    </w:p>
    <w:p w14:paraId="2DC0F601">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9" w:line="360" w:lineRule="auto"/>
        <w:ind w:firstLine="430" w:firstLineChars="200"/>
        <w:textAlignment w:val="baseline"/>
        <w:rPr>
          <w:rFonts w:hint="eastAsia" w:ascii="仿宋" w:hAnsi="仿宋" w:eastAsia="仿宋" w:cs="仿宋"/>
          <w:color w:val="auto"/>
          <w:spacing w:val="-4"/>
          <w:sz w:val="22"/>
          <w:szCs w:val="22"/>
          <w:highlight w:val="none"/>
          <w:u w:val="single"/>
          <w:lang w:val="en-US" w:eastAsia="zh-CN"/>
        </w:rPr>
      </w:pPr>
      <w:r>
        <w:rPr>
          <w:rFonts w:hint="eastAsia" w:ascii="仿宋" w:hAnsi="仿宋" w:eastAsia="仿宋" w:cs="仿宋"/>
          <w:b/>
          <w:bCs/>
          <w:color w:val="auto"/>
          <w:spacing w:val="-3"/>
          <w:sz w:val="22"/>
          <w:szCs w:val="22"/>
          <w:highlight w:val="none"/>
          <w:lang w:eastAsia="zh-CN"/>
        </w:rPr>
        <w:t>（</w:t>
      </w:r>
      <w:r>
        <w:rPr>
          <w:rFonts w:hint="eastAsia" w:ascii="仿宋" w:hAnsi="仿宋" w:eastAsia="仿宋" w:cs="仿宋"/>
          <w:b/>
          <w:bCs/>
          <w:color w:val="auto"/>
          <w:spacing w:val="-3"/>
          <w:sz w:val="22"/>
          <w:szCs w:val="22"/>
          <w:highlight w:val="none"/>
          <w:lang w:val="en-US" w:eastAsia="zh-CN"/>
        </w:rPr>
        <w:t>2</w:t>
      </w:r>
      <w:r>
        <w:rPr>
          <w:rFonts w:hint="eastAsia" w:ascii="仿宋" w:hAnsi="仿宋" w:eastAsia="仿宋" w:cs="仿宋"/>
          <w:b/>
          <w:bCs/>
          <w:color w:val="auto"/>
          <w:spacing w:val="-3"/>
          <w:sz w:val="22"/>
          <w:szCs w:val="22"/>
          <w:highlight w:val="none"/>
          <w:lang w:eastAsia="zh-CN"/>
        </w:rPr>
        <w:t>）具有良好的商业信誉和健全的财务会计</w:t>
      </w:r>
      <w:r>
        <w:rPr>
          <w:rFonts w:hint="eastAsia" w:ascii="仿宋" w:hAnsi="仿宋" w:eastAsia="仿宋" w:cs="仿宋"/>
          <w:b/>
          <w:bCs/>
          <w:color w:val="auto"/>
          <w:spacing w:val="-4"/>
          <w:sz w:val="22"/>
          <w:szCs w:val="22"/>
          <w:highlight w:val="none"/>
          <w:lang w:eastAsia="zh-CN"/>
        </w:rPr>
        <w:t>制度</w:t>
      </w:r>
      <w:r>
        <w:rPr>
          <w:rFonts w:hint="eastAsia" w:ascii="仿宋" w:hAnsi="仿宋" w:eastAsia="仿宋" w:cs="仿宋"/>
          <w:color w:val="auto"/>
          <w:spacing w:val="-4"/>
          <w:sz w:val="22"/>
          <w:szCs w:val="22"/>
          <w:highlight w:val="none"/>
          <w:lang w:eastAsia="zh-CN"/>
        </w:rPr>
        <w:t>：</w:t>
      </w:r>
      <w:r>
        <w:rPr>
          <w:rFonts w:hint="eastAsia" w:cs="仿宋"/>
          <w:color w:val="auto"/>
          <w:spacing w:val="-1"/>
          <w:sz w:val="22"/>
          <w:szCs w:val="22"/>
          <w:highlight w:val="none"/>
          <w:u w:val="single"/>
          <w:lang w:val="en-US" w:eastAsia="zh-CN"/>
        </w:rPr>
        <w:t>提供2023年或2024年财务审计报告或基本开户银行出具的资信证明</w:t>
      </w:r>
      <w:r>
        <w:rPr>
          <w:rFonts w:hint="eastAsia" w:ascii="仿宋" w:hAnsi="仿宋" w:eastAsia="仿宋" w:cs="仿宋"/>
          <w:color w:val="auto"/>
          <w:spacing w:val="-4"/>
          <w:sz w:val="22"/>
          <w:szCs w:val="22"/>
          <w:highlight w:val="none"/>
          <w:u w:val="single"/>
          <w:lang w:val="en-US" w:eastAsia="zh-CN"/>
        </w:rPr>
        <w:t>。</w:t>
      </w:r>
    </w:p>
    <w:p w14:paraId="0C9AC579">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9" w:line="360" w:lineRule="auto"/>
        <w:ind w:firstLine="426" w:firstLineChars="200"/>
        <w:textAlignment w:val="baseline"/>
        <w:rPr>
          <w:rFonts w:hint="eastAsia" w:ascii="仿宋" w:hAnsi="仿宋" w:eastAsia="仿宋" w:cs="仿宋"/>
          <w:color w:val="auto"/>
          <w:spacing w:val="19"/>
          <w:sz w:val="22"/>
          <w:szCs w:val="22"/>
          <w:highlight w:val="none"/>
          <w:u w:val="single"/>
          <w:lang w:eastAsia="zh-CN"/>
        </w:rPr>
      </w:pP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3</w:t>
      </w:r>
      <w:r>
        <w:rPr>
          <w:rFonts w:hint="eastAsia" w:ascii="仿宋" w:hAnsi="仿宋" w:eastAsia="仿宋" w:cs="仿宋"/>
          <w:b/>
          <w:bCs/>
          <w:color w:val="auto"/>
          <w:spacing w:val="-4"/>
          <w:sz w:val="22"/>
          <w:szCs w:val="22"/>
          <w:highlight w:val="none"/>
          <w:lang w:eastAsia="zh-CN"/>
        </w:rPr>
        <w:t>）具有履行合同所必需的设备和专业技术能</w:t>
      </w:r>
      <w:r>
        <w:rPr>
          <w:rFonts w:hint="eastAsia" w:ascii="仿宋" w:hAnsi="仿宋" w:eastAsia="仿宋" w:cs="仿宋"/>
          <w:color w:val="auto"/>
          <w:spacing w:val="-4"/>
          <w:sz w:val="22"/>
          <w:szCs w:val="22"/>
          <w:highlight w:val="none"/>
          <w:lang w:eastAsia="zh-CN"/>
        </w:rPr>
        <w:t>力：</w:t>
      </w:r>
      <w:r>
        <w:rPr>
          <w:rFonts w:hint="eastAsia" w:ascii="仿宋" w:hAnsi="仿宋" w:eastAsia="仿宋" w:cs="仿宋"/>
          <w:color w:val="auto"/>
          <w:spacing w:val="-4"/>
          <w:sz w:val="22"/>
          <w:szCs w:val="22"/>
          <w:highlight w:val="none"/>
          <w:u w:val="single"/>
          <w:lang w:eastAsia="zh-CN"/>
        </w:rPr>
        <w:t>提供具有履行合同所必需的设备</w:t>
      </w:r>
      <w:r>
        <w:rPr>
          <w:rFonts w:hint="eastAsia" w:ascii="仿宋" w:hAnsi="仿宋" w:eastAsia="仿宋" w:cs="仿宋"/>
          <w:color w:val="auto"/>
          <w:spacing w:val="-1"/>
          <w:sz w:val="22"/>
          <w:szCs w:val="22"/>
          <w:highlight w:val="none"/>
          <w:u w:val="single"/>
          <w:lang w:eastAsia="zh-CN"/>
        </w:rPr>
        <w:t>和专业技术能力的相关资料（</w:t>
      </w:r>
      <w:r>
        <w:rPr>
          <w:rFonts w:hint="eastAsia" w:cs="仿宋"/>
          <w:color w:val="auto"/>
          <w:spacing w:val="-1"/>
          <w:sz w:val="22"/>
          <w:szCs w:val="22"/>
          <w:highlight w:val="none"/>
          <w:u w:val="single"/>
          <w:lang w:eastAsia="zh-CN"/>
        </w:rPr>
        <w:t>提供承诺函，格式自拟</w:t>
      </w:r>
      <w:r>
        <w:rPr>
          <w:rFonts w:hint="eastAsia" w:ascii="仿宋" w:hAnsi="仿宋" w:eastAsia="仿宋" w:cs="仿宋"/>
          <w:color w:val="auto"/>
          <w:spacing w:val="19"/>
          <w:sz w:val="22"/>
          <w:szCs w:val="22"/>
          <w:highlight w:val="none"/>
          <w:u w:val="single"/>
          <w:lang w:eastAsia="zh-CN"/>
        </w:rPr>
        <w:t>）；</w:t>
      </w:r>
    </w:p>
    <w:p w14:paraId="5312CB92">
      <w:pPr>
        <w:pStyle w:val="9"/>
        <w:keepNext w:val="0"/>
        <w:keepLines w:val="0"/>
        <w:pageBreakBefore w:val="0"/>
        <w:widowControl/>
        <w:kinsoku/>
        <w:wordWrap/>
        <w:overflowPunct/>
        <w:topLinePunct w:val="0"/>
        <w:autoSpaceDE w:val="0"/>
        <w:autoSpaceDN w:val="0"/>
        <w:bidi w:val="0"/>
        <w:adjustRightInd w:val="0"/>
        <w:snapToGrid w:val="0"/>
        <w:spacing w:line="360" w:lineRule="auto"/>
        <w:ind w:firstLine="430" w:firstLineChars="200"/>
        <w:textAlignment w:val="baseline"/>
        <w:rPr>
          <w:rFonts w:hint="eastAsia" w:ascii="仿宋" w:hAnsi="仿宋" w:eastAsia="仿宋" w:cs="仿宋"/>
          <w:color w:val="auto"/>
          <w:spacing w:val="19"/>
          <w:sz w:val="22"/>
          <w:szCs w:val="22"/>
          <w:highlight w:val="none"/>
          <w:u w:val="single"/>
          <w:lang w:eastAsia="zh-CN"/>
        </w:rPr>
      </w:pPr>
      <w:r>
        <w:rPr>
          <w:rFonts w:hint="eastAsia" w:ascii="仿宋" w:hAnsi="仿宋" w:eastAsia="仿宋" w:cs="仿宋"/>
          <w:b/>
          <w:bCs/>
          <w:color w:val="auto"/>
          <w:spacing w:val="-3"/>
          <w:sz w:val="22"/>
          <w:szCs w:val="22"/>
          <w:highlight w:val="none"/>
          <w:lang w:eastAsia="zh-CN"/>
        </w:rPr>
        <w:t>（</w:t>
      </w:r>
      <w:r>
        <w:rPr>
          <w:rFonts w:hint="eastAsia" w:ascii="仿宋" w:hAnsi="仿宋" w:eastAsia="仿宋" w:cs="仿宋"/>
          <w:b/>
          <w:bCs/>
          <w:color w:val="auto"/>
          <w:spacing w:val="-3"/>
          <w:sz w:val="22"/>
          <w:szCs w:val="22"/>
          <w:highlight w:val="none"/>
          <w:lang w:val="en-US" w:eastAsia="zh-CN"/>
        </w:rPr>
        <w:t>4</w:t>
      </w:r>
      <w:r>
        <w:rPr>
          <w:rFonts w:hint="eastAsia" w:ascii="仿宋" w:hAnsi="仿宋" w:eastAsia="仿宋" w:cs="仿宋"/>
          <w:b/>
          <w:bCs/>
          <w:color w:val="auto"/>
          <w:spacing w:val="-3"/>
          <w:sz w:val="22"/>
          <w:szCs w:val="22"/>
          <w:highlight w:val="none"/>
          <w:lang w:eastAsia="zh-CN"/>
        </w:rPr>
        <w:t>）有依法缴纳税收和社会保障资金的良好记录</w:t>
      </w:r>
      <w:r>
        <w:rPr>
          <w:rFonts w:hint="eastAsia" w:ascii="仿宋" w:hAnsi="仿宋" w:eastAsia="仿宋" w:cs="仿宋"/>
          <w:color w:val="auto"/>
          <w:spacing w:val="-3"/>
          <w:sz w:val="22"/>
          <w:szCs w:val="22"/>
          <w:highlight w:val="none"/>
          <w:lang w:eastAsia="zh-CN"/>
        </w:rPr>
        <w:t>：</w:t>
      </w:r>
      <w:r>
        <w:rPr>
          <w:rFonts w:hint="eastAsia" w:cs="仿宋"/>
          <w:color w:val="auto"/>
          <w:spacing w:val="-3"/>
          <w:sz w:val="22"/>
          <w:szCs w:val="22"/>
          <w:highlight w:val="none"/>
          <w:u w:val="single"/>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w:t>
      </w:r>
      <w:r>
        <w:rPr>
          <w:rFonts w:hint="eastAsia" w:ascii="仿宋" w:hAnsi="仿宋" w:eastAsia="仿宋" w:cs="仿宋"/>
          <w:color w:val="auto"/>
          <w:spacing w:val="-1"/>
          <w:sz w:val="22"/>
          <w:szCs w:val="22"/>
          <w:highlight w:val="none"/>
          <w:u w:val="single"/>
          <w:lang w:val="en-US" w:eastAsia="zh-CN"/>
        </w:rPr>
        <w:t>。（所属期税款为“0”而无缴纳凭证的，应有经税务机关盖章认可的零申报说明等证明；成立未满 3个月的投标供应商，提供成立之日起至投标截止日止的税收和社会保障资金缴纳凭证。）</w:t>
      </w:r>
    </w:p>
    <w:p w14:paraId="6D163A01">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26" w:firstLineChars="200"/>
        <w:textAlignment w:val="baseline"/>
        <w:rPr>
          <w:rFonts w:hint="eastAsia" w:ascii="仿宋" w:hAnsi="仿宋" w:eastAsia="仿宋" w:cs="仿宋"/>
          <w:color w:val="auto"/>
          <w:spacing w:val="-60"/>
          <w:w w:val="90"/>
          <w:sz w:val="22"/>
          <w:szCs w:val="22"/>
          <w:highlight w:val="none"/>
          <w:u w:val="single"/>
          <w:lang w:eastAsia="zh-CN"/>
        </w:rPr>
      </w:pP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5</w:t>
      </w:r>
      <w:r>
        <w:rPr>
          <w:rFonts w:hint="eastAsia" w:ascii="仿宋" w:hAnsi="仿宋" w:eastAsia="仿宋" w:cs="仿宋"/>
          <w:b/>
          <w:bCs/>
          <w:color w:val="auto"/>
          <w:spacing w:val="-4"/>
          <w:sz w:val="22"/>
          <w:szCs w:val="22"/>
          <w:highlight w:val="none"/>
          <w:lang w:eastAsia="zh-CN"/>
        </w:rPr>
        <w:t>）参加政府采购活动前三年内，在经营活动中没有重大违法记</w:t>
      </w:r>
      <w:r>
        <w:rPr>
          <w:rFonts w:hint="eastAsia" w:ascii="仿宋" w:hAnsi="仿宋" w:eastAsia="仿宋" w:cs="仿宋"/>
          <w:color w:val="auto"/>
          <w:spacing w:val="-4"/>
          <w:sz w:val="22"/>
          <w:szCs w:val="22"/>
          <w:highlight w:val="none"/>
          <w:lang w:eastAsia="zh-CN"/>
        </w:rPr>
        <w:t>录：</w:t>
      </w:r>
      <w:r>
        <w:rPr>
          <w:rFonts w:hint="eastAsia" w:ascii="仿宋" w:hAnsi="仿宋" w:eastAsia="仿宋" w:cs="仿宋"/>
          <w:color w:val="auto"/>
          <w:spacing w:val="-4"/>
          <w:sz w:val="22"/>
          <w:szCs w:val="22"/>
          <w:highlight w:val="none"/>
          <w:u w:val="single"/>
          <w:lang w:eastAsia="zh-CN"/>
        </w:rPr>
        <w:t>提供参加政府</w:t>
      </w:r>
      <w:r>
        <w:rPr>
          <w:rFonts w:hint="eastAsia" w:ascii="仿宋" w:hAnsi="仿宋" w:eastAsia="仿宋" w:cs="仿宋"/>
          <w:color w:val="auto"/>
          <w:spacing w:val="-8"/>
          <w:sz w:val="22"/>
          <w:szCs w:val="22"/>
          <w:highlight w:val="none"/>
          <w:u w:val="single"/>
          <w:lang w:eastAsia="zh-CN"/>
        </w:rPr>
        <w:t>采购活动前3年内在经营活动中没有重大违法记录的书面声明（</w:t>
      </w:r>
      <w:r>
        <w:rPr>
          <w:rFonts w:hint="eastAsia" w:cs="仿宋"/>
          <w:color w:val="auto"/>
          <w:spacing w:val="-8"/>
          <w:sz w:val="22"/>
          <w:szCs w:val="22"/>
          <w:highlight w:val="none"/>
          <w:u w:val="single"/>
          <w:lang w:eastAsia="zh-CN"/>
        </w:rPr>
        <w:t>提供声明函，格式自拟</w:t>
      </w:r>
      <w:r>
        <w:rPr>
          <w:rFonts w:hint="eastAsia" w:ascii="仿宋" w:hAnsi="仿宋" w:eastAsia="仿宋" w:cs="仿宋"/>
          <w:color w:val="auto"/>
          <w:spacing w:val="-60"/>
          <w:w w:val="90"/>
          <w:sz w:val="22"/>
          <w:szCs w:val="22"/>
          <w:highlight w:val="none"/>
          <w:u w:val="single"/>
          <w:lang w:eastAsia="zh-CN"/>
        </w:rPr>
        <w:t>）</w:t>
      </w:r>
    </w:p>
    <w:p w14:paraId="6299205F">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22" w:firstLineChars="200"/>
        <w:jc w:val="both"/>
        <w:textAlignment w:val="baseline"/>
        <w:rPr>
          <w:rFonts w:hint="eastAsia" w:ascii="仿宋" w:hAnsi="仿宋" w:eastAsia="仿宋" w:cs="仿宋"/>
          <w:color w:val="auto"/>
          <w:spacing w:val="-1"/>
          <w:sz w:val="22"/>
          <w:szCs w:val="22"/>
          <w:highlight w:val="none"/>
          <w:u w:val="single"/>
          <w:lang w:eastAsia="zh-CN"/>
        </w:rPr>
      </w:pPr>
      <w:r>
        <w:rPr>
          <w:rFonts w:hint="eastAsia" w:ascii="仿宋" w:hAnsi="仿宋" w:eastAsia="仿宋" w:cs="仿宋"/>
          <w:b/>
          <w:bCs/>
          <w:color w:val="auto"/>
          <w:spacing w:val="-5"/>
          <w:sz w:val="22"/>
          <w:szCs w:val="22"/>
          <w:highlight w:val="none"/>
          <w:lang w:eastAsia="zh-CN"/>
        </w:rPr>
        <w:t>（</w:t>
      </w:r>
      <w:r>
        <w:rPr>
          <w:rFonts w:hint="eastAsia" w:ascii="仿宋" w:hAnsi="仿宋" w:eastAsia="仿宋" w:cs="仿宋"/>
          <w:b/>
          <w:bCs/>
          <w:color w:val="auto"/>
          <w:spacing w:val="-5"/>
          <w:sz w:val="22"/>
          <w:szCs w:val="22"/>
          <w:highlight w:val="none"/>
          <w:lang w:val="en-US" w:eastAsia="zh-CN"/>
        </w:rPr>
        <w:t>6</w:t>
      </w:r>
      <w:r>
        <w:rPr>
          <w:rFonts w:hint="eastAsia" w:ascii="仿宋" w:hAnsi="仿宋" w:eastAsia="仿宋" w:cs="仿宋"/>
          <w:b/>
          <w:bCs/>
          <w:color w:val="auto"/>
          <w:spacing w:val="-5"/>
          <w:sz w:val="22"/>
          <w:szCs w:val="22"/>
          <w:highlight w:val="none"/>
          <w:lang w:eastAsia="zh-CN"/>
        </w:rPr>
        <w:t>）法律、行政法规规定的其他条件</w:t>
      </w:r>
      <w:r>
        <w:rPr>
          <w:rFonts w:hint="eastAsia" w:ascii="仿宋" w:hAnsi="仿宋" w:eastAsia="仿宋" w:cs="仿宋"/>
          <w:color w:val="auto"/>
          <w:spacing w:val="-5"/>
          <w:sz w:val="22"/>
          <w:szCs w:val="22"/>
          <w:highlight w:val="none"/>
          <w:lang w:eastAsia="zh-CN"/>
        </w:rPr>
        <w:t>：</w:t>
      </w:r>
      <w:r>
        <w:rPr>
          <w:rFonts w:hint="eastAsia" w:ascii="仿宋" w:hAnsi="仿宋" w:eastAsia="仿宋" w:cs="仿宋"/>
          <w:color w:val="auto"/>
          <w:spacing w:val="-5"/>
          <w:sz w:val="22"/>
          <w:szCs w:val="22"/>
          <w:highlight w:val="none"/>
          <w:u w:val="single"/>
          <w:lang w:val="en-US" w:eastAsia="zh-CN"/>
        </w:rPr>
        <w:t>列入失信被执行人、重大税收违法案件当事人名单、政府采购严重违法失信行为记录名单且还在执行期的投标人，拒绝其参与本次采购活动，查询渠道：“信用中国网站、中国政府采购网”网站，提供查询记录截图加盖投标人公章，截图须体现查询时间（查询时间为：公告发布之日起至开标前一天的任意时间），截图须清晰完整。</w:t>
      </w:r>
    </w:p>
    <w:p w14:paraId="68570141">
      <w:pPr>
        <w:pStyle w:val="9"/>
        <w:widowControl/>
        <w:numPr>
          <w:ilvl w:val="0"/>
          <w:numId w:val="0"/>
        </w:numPr>
        <w:kinsoku/>
        <w:topLinePunct w:val="0"/>
        <w:autoSpaceDE w:val="0"/>
        <w:autoSpaceDN w:val="0"/>
        <w:bidi w:val="0"/>
        <w:adjustRightInd w:val="0"/>
        <w:snapToGrid w:val="0"/>
        <w:spacing w:line="360" w:lineRule="auto"/>
        <w:jc w:val="both"/>
        <w:rPr>
          <w:rFonts w:hint="eastAsia" w:ascii="仿宋" w:hAnsi="仿宋" w:eastAsia="仿宋" w:cs="仿宋"/>
          <w:color w:val="auto"/>
          <w:spacing w:val="-48"/>
          <w:sz w:val="22"/>
          <w:szCs w:val="22"/>
          <w:highlight w:val="none"/>
          <w:lang w:eastAsia="zh-CN"/>
        </w:rPr>
      </w:pPr>
      <w:r>
        <w:rPr>
          <w:rFonts w:hint="eastAsia" w:ascii="仿宋" w:hAnsi="仿宋" w:eastAsia="仿宋" w:cs="仿宋"/>
          <w:b/>
          <w:bCs/>
          <w:color w:val="auto"/>
          <w:spacing w:val="-1"/>
          <w:sz w:val="22"/>
          <w:szCs w:val="22"/>
          <w:highlight w:val="none"/>
          <w:lang w:val="en-US" w:eastAsia="zh-CN"/>
        </w:rPr>
        <w:t>2、</w:t>
      </w:r>
      <w:r>
        <w:rPr>
          <w:rFonts w:hint="eastAsia" w:ascii="仿宋" w:hAnsi="仿宋" w:eastAsia="仿宋" w:cs="仿宋"/>
          <w:b/>
          <w:bCs/>
          <w:color w:val="auto"/>
          <w:spacing w:val="-1"/>
          <w:sz w:val="22"/>
          <w:szCs w:val="22"/>
          <w:highlight w:val="none"/>
          <w:lang w:eastAsia="zh-CN"/>
        </w:rPr>
        <w:t>落实政府采购政策需满足的资格要求</w:t>
      </w:r>
      <w:r>
        <w:rPr>
          <w:rFonts w:hint="eastAsia" w:ascii="仿宋" w:hAnsi="仿宋" w:eastAsia="仿宋" w:cs="仿宋"/>
          <w:color w:val="auto"/>
          <w:spacing w:val="-48"/>
          <w:sz w:val="22"/>
          <w:szCs w:val="22"/>
          <w:highlight w:val="none"/>
          <w:lang w:eastAsia="zh-CN"/>
        </w:rPr>
        <w:t>：</w:t>
      </w:r>
    </w:p>
    <w:p w14:paraId="47AB9BA6">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（1）本项目专门面向中小</w:t>
      </w:r>
      <w:r>
        <w:rPr>
          <w:rFonts w:hint="eastAsia" w:cs="仿宋"/>
          <w:color w:val="auto"/>
          <w:sz w:val="22"/>
          <w:szCs w:val="22"/>
          <w:highlight w:val="none"/>
          <w:u w:val="none"/>
          <w:lang w:val="en-US" w:eastAsia="zh-CN"/>
        </w:rPr>
        <w:t>微</w:t>
      </w:r>
      <w:r>
        <w:rPr>
          <w:rFonts w:hint="eastAsia" w:ascii="仿宋" w:hAnsi="仿宋" w:eastAsia="仿宋" w:cs="仿宋"/>
          <w:color w:val="auto"/>
          <w:sz w:val="22"/>
          <w:szCs w:val="22"/>
          <w:highlight w:val="none"/>
          <w:u w:val="none"/>
          <w:lang w:val="en-US" w:eastAsia="zh-CN"/>
        </w:rPr>
        <w:t>企业采购，不再执行价格扣除。中小企业划分标准依照工业和信息化部、国家统计局、国家发展和改革委员会、财政部联合下发的《关于印发中小企业划型标准规定的通知》（工信部联企业《2011》300号）执行；</w:t>
      </w:r>
    </w:p>
    <w:p w14:paraId="02E84506">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color w:val="auto"/>
          <w:sz w:val="22"/>
          <w:szCs w:val="22"/>
          <w:highlight w:val="none"/>
          <w:u w:val="none"/>
          <w:lang w:val="en-US" w:eastAsia="zh-CN"/>
        </w:rPr>
        <w:t>（2）对原产地在少数民族自治区和享受少数民族自治待遇的省份（云南、贵州、青海）的投标主产品（不含附带产品），在总得分基础上加3分。投标主产品按照不得低于本采购项目预算金额50%加以确定；</w:t>
      </w:r>
      <w:r>
        <w:rPr>
          <w:rFonts w:hint="eastAsia" w:cs="仿宋"/>
          <w:strike w:val="0"/>
          <w:dstrike/>
          <w:color w:val="auto"/>
          <w:sz w:val="22"/>
          <w:szCs w:val="22"/>
          <w:highlight w:val="none"/>
          <w:u w:val="none"/>
          <w:lang w:val="en-US" w:eastAsia="zh-CN"/>
        </w:rPr>
        <w:t>（本项目为服务采购项目，不适用本条要求）</w:t>
      </w:r>
    </w:p>
    <w:p w14:paraId="1EBA62D9">
      <w:pPr>
        <w:pStyle w:val="9"/>
        <w:keepNext w:val="0"/>
        <w:keepLines w:val="0"/>
        <w:pageBreakBefore w:val="0"/>
        <w:widowControl/>
        <w:numPr>
          <w:ilvl w:val="0"/>
          <w:numId w:val="0"/>
        </w:numPr>
        <w:kinsoku/>
        <w:wordWrap/>
        <w:overflowPunct/>
        <w:topLinePunct w:val="0"/>
        <w:autoSpaceDE w:val="0"/>
        <w:autoSpaceDN w:val="0"/>
        <w:bidi w:val="0"/>
        <w:adjustRightInd w:val="0"/>
        <w:snapToGrid w:val="0"/>
        <w:spacing w:before="4" w:after="0" w:afterLines="20" w:line="360" w:lineRule="auto"/>
        <w:ind w:firstLine="440" w:firstLineChars="200"/>
        <w:jc w:val="both"/>
        <w:rPr>
          <w:rFonts w:hint="eastAsia" w:ascii="仿宋" w:hAnsi="仿宋" w:eastAsia="仿宋" w:cs="仿宋"/>
          <w:strike w:val="0"/>
          <w:dstrike/>
          <w:color w:val="auto"/>
          <w:sz w:val="22"/>
          <w:szCs w:val="22"/>
          <w:highlight w:val="none"/>
          <w:u w:val="none"/>
          <w:lang w:val="en-US" w:eastAsia="zh-CN"/>
        </w:rPr>
      </w:pPr>
      <w:r>
        <w:rPr>
          <w:rFonts w:hint="eastAsia" w:ascii="仿宋" w:hAnsi="仿宋" w:eastAsia="仿宋" w:cs="仿宋"/>
          <w:strike w:val="0"/>
          <w:dstrike/>
          <w:color w:val="auto"/>
          <w:sz w:val="22"/>
          <w:szCs w:val="22"/>
          <w:highlight w:val="none"/>
          <w:u w:val="none"/>
          <w:lang w:val="en-US"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w:t>
      </w:r>
      <w:r>
        <w:rPr>
          <w:rFonts w:hint="eastAsia" w:cs="仿宋"/>
          <w:strike w:val="0"/>
          <w:dstrike/>
          <w:color w:val="auto"/>
          <w:sz w:val="22"/>
          <w:szCs w:val="22"/>
          <w:highlight w:val="none"/>
          <w:u w:val="none"/>
          <w:lang w:val="en-US" w:eastAsia="zh-CN"/>
        </w:rPr>
        <w:t>（本项目为服务采购项目，不适用本条要求）</w:t>
      </w:r>
    </w:p>
    <w:p w14:paraId="12CEAF27">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（4）符合条件的残疾人福利性单位视同小型、微型企业在投标中享受同等优惠，但须提供《残疾人福利性单位声明函》，监狱企业视同小型、微型企业（以当地管理部门出具的证明为准）</w:t>
      </w:r>
      <w:r>
        <w:rPr>
          <w:rFonts w:hint="eastAsia" w:cs="仿宋"/>
          <w:color w:val="auto"/>
          <w:sz w:val="22"/>
          <w:szCs w:val="22"/>
          <w:highlight w:val="none"/>
          <w:u w:val="none"/>
          <w:lang w:val="en-US" w:eastAsia="zh-CN"/>
        </w:rPr>
        <w:t>。</w:t>
      </w:r>
    </w:p>
    <w:p w14:paraId="68FD3381">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注：残疾人福利性单位属于中小企业的，不重复享受政策</w:t>
      </w:r>
      <w:r>
        <w:rPr>
          <w:rFonts w:hint="eastAsia" w:cs="仿宋"/>
          <w:color w:val="auto"/>
          <w:sz w:val="22"/>
          <w:szCs w:val="22"/>
          <w:highlight w:val="none"/>
          <w:u w:val="none"/>
          <w:lang w:val="en-US" w:eastAsia="zh-CN"/>
        </w:rPr>
        <w:t>。</w:t>
      </w:r>
    </w:p>
    <w:p w14:paraId="2A8AF8B5">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（本项目专门面向中小微企业采购，供应商应为中小微企业、监狱企业、残疾人福利性单位,提供中小企业声明函）</w:t>
      </w:r>
    </w:p>
    <w:p w14:paraId="4BA302E1">
      <w:pPr>
        <w:pStyle w:val="9"/>
        <w:widowControl/>
        <w:numPr>
          <w:ilvl w:val="0"/>
          <w:numId w:val="0"/>
        </w:numPr>
        <w:kinsoku/>
        <w:topLinePunct w:val="0"/>
        <w:autoSpaceDE w:val="0"/>
        <w:autoSpaceDN w:val="0"/>
        <w:bidi w:val="0"/>
        <w:adjustRightInd w:val="0"/>
        <w:snapToGrid w:val="0"/>
        <w:spacing w:line="360" w:lineRule="auto"/>
        <w:ind w:firstLine="440" w:firstLineChars="200"/>
        <w:jc w:val="both"/>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3.</w:t>
      </w:r>
      <w:r>
        <w:rPr>
          <w:rFonts w:hint="eastAsia" w:ascii="仿宋" w:hAnsi="仿宋" w:eastAsia="仿宋" w:cs="仿宋"/>
          <w:b/>
          <w:bCs/>
          <w:color w:val="auto"/>
          <w:sz w:val="22"/>
          <w:szCs w:val="22"/>
          <w:highlight w:val="none"/>
          <w:u w:val="none"/>
          <w:lang w:eastAsia="zh-CN"/>
        </w:rPr>
        <w:t>本项目的特定资格要求</w:t>
      </w:r>
      <w:r>
        <w:rPr>
          <w:rFonts w:hint="eastAsia" w:ascii="仿宋" w:hAnsi="仿宋" w:eastAsia="仿宋" w:cs="仿宋"/>
          <w:color w:val="auto"/>
          <w:sz w:val="22"/>
          <w:szCs w:val="22"/>
          <w:highlight w:val="none"/>
          <w:u w:val="none"/>
          <w:lang w:eastAsia="zh-CN"/>
        </w:rPr>
        <w:t>：</w:t>
      </w:r>
      <w:r>
        <w:rPr>
          <w:rFonts w:hint="eastAsia" w:cs="仿宋"/>
          <w:b w:val="0"/>
          <w:bCs w:val="0"/>
          <w:color w:val="auto"/>
          <w:sz w:val="22"/>
          <w:szCs w:val="22"/>
          <w:highlight w:val="none"/>
          <w:u w:val="single"/>
          <w:lang w:val="en-US" w:eastAsia="zh-CN"/>
        </w:rPr>
        <w:t xml:space="preserve"> 投标人须具备食品经营许可证或食品经营备案证明</w:t>
      </w:r>
      <w:r>
        <w:rPr>
          <w:rFonts w:hint="eastAsia" w:ascii="仿宋" w:hAnsi="仿宋" w:eastAsia="仿宋" w:cs="仿宋"/>
          <w:color w:val="auto"/>
          <w:sz w:val="22"/>
          <w:szCs w:val="22"/>
          <w:highlight w:val="none"/>
          <w:u w:val="none"/>
          <w:lang w:eastAsia="zh-CN"/>
        </w:rPr>
        <w:t>。</w:t>
      </w:r>
    </w:p>
    <w:p w14:paraId="6568C748">
      <w:pPr>
        <w:pStyle w:val="9"/>
        <w:widowControl/>
        <w:kinsoku/>
        <w:topLinePunct w:val="0"/>
        <w:autoSpaceDE w:val="0"/>
        <w:autoSpaceDN w:val="0"/>
        <w:bidi w:val="0"/>
        <w:adjustRightInd w:val="0"/>
        <w:snapToGrid w:val="0"/>
        <w:spacing w:before="111" w:line="360" w:lineRule="auto"/>
        <w:ind w:firstLine="440" w:firstLineChars="200"/>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注：</w:t>
      </w:r>
      <w:r>
        <w:rPr>
          <w:rFonts w:hint="eastAsia" w:ascii="仿宋" w:hAnsi="仿宋" w:eastAsia="仿宋" w:cs="仿宋"/>
          <w:b/>
          <w:bCs/>
          <w:color w:val="auto"/>
          <w:sz w:val="22"/>
          <w:szCs w:val="22"/>
          <w:highlight w:val="none"/>
          <w:u w:val="single"/>
          <w:lang w:eastAsia="zh-CN"/>
        </w:rPr>
        <w:t>供应商资格条件，</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后，如提供以上内容不属实，取消</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资格！</w:t>
      </w:r>
    </w:p>
    <w:p w14:paraId="5237DFFC">
      <w:pPr>
        <w:widowControl/>
        <w:kinsoku/>
        <w:topLinePunct w:val="0"/>
        <w:autoSpaceDE w:val="0"/>
        <w:autoSpaceDN w:val="0"/>
        <w:bidi w:val="0"/>
        <w:adjustRightInd w:val="0"/>
        <w:snapToGrid w:val="0"/>
        <w:spacing w:line="222" w:lineRule="auto"/>
        <w:rPr>
          <w:rFonts w:hint="eastAsia" w:ascii="仿宋" w:hAnsi="仿宋" w:eastAsia="仿宋" w:cs="仿宋"/>
          <w:color w:val="auto"/>
          <w:sz w:val="22"/>
          <w:szCs w:val="22"/>
          <w:highlight w:val="none"/>
          <w:lang w:eastAsia="zh-CN"/>
        </w:rPr>
        <w:sectPr>
          <w:footerReference r:id="rId5" w:type="default"/>
          <w:pgSz w:w="11905" w:h="16838"/>
          <w:pgMar w:top="850" w:right="1134" w:bottom="850" w:left="1134" w:header="0" w:footer="782" w:gutter="0"/>
          <w:pgNumType w:fmt="decimal"/>
          <w:cols w:space="0" w:num="1"/>
          <w:rtlGutter w:val="0"/>
          <w:docGrid w:linePitch="0" w:charSpace="0"/>
        </w:sectPr>
      </w:pPr>
    </w:p>
    <w:p w14:paraId="5FF3712B">
      <w:pPr>
        <w:widowControl/>
        <w:kinsoku/>
        <w:topLinePunct w:val="0"/>
        <w:autoSpaceDE w:val="0"/>
        <w:autoSpaceDN w:val="0"/>
        <w:bidi w:val="0"/>
        <w:adjustRightInd w:val="0"/>
        <w:snapToGrid w:val="0"/>
        <w:spacing w:line="268" w:lineRule="auto"/>
        <w:rPr>
          <w:rFonts w:hint="eastAsia" w:ascii="仿宋" w:hAnsi="仿宋" w:eastAsia="仿宋" w:cs="仿宋"/>
          <w:color w:val="auto"/>
          <w:sz w:val="20"/>
          <w:szCs w:val="20"/>
          <w:highlight w:val="none"/>
          <w:lang w:eastAsia="zh-CN"/>
        </w:rPr>
      </w:pPr>
    </w:p>
    <w:p w14:paraId="6717894F">
      <w:pPr>
        <w:pStyle w:val="4"/>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6" w:name="_Toc7160"/>
      <w:r>
        <w:rPr>
          <w:rFonts w:hint="eastAsia" w:ascii="仿宋" w:hAnsi="仿宋" w:eastAsia="仿宋" w:cs="仿宋"/>
          <w:color w:val="auto"/>
          <w:highlight w:val="none"/>
          <w:lang w:eastAsia="zh-CN"/>
        </w:rPr>
        <w:t>第三章采购</w:t>
      </w: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lang w:eastAsia="zh-CN"/>
        </w:rPr>
        <w:t>及商务要求</w:t>
      </w:r>
      <w:bookmarkEnd w:id="6"/>
    </w:p>
    <w:p w14:paraId="42C7E773">
      <w:pPr>
        <w:pStyle w:val="9"/>
        <w:widowControl/>
        <w:kinsoku/>
        <w:topLinePunct w:val="0"/>
        <w:autoSpaceDE w:val="0"/>
        <w:autoSpaceDN w:val="0"/>
        <w:bidi w:val="0"/>
        <w:adjustRightInd w:val="0"/>
        <w:snapToGrid w:val="0"/>
        <w:spacing w:line="221" w:lineRule="auto"/>
        <w:jc w:val="center"/>
        <w:rPr>
          <w:rFonts w:hint="eastAsia" w:ascii="仿宋" w:hAnsi="仿宋" w:eastAsia="仿宋" w:cs="仿宋"/>
          <w:color w:val="auto"/>
          <w:spacing w:val="19"/>
          <w:sz w:val="22"/>
          <w:szCs w:val="22"/>
          <w:highlight w:val="none"/>
          <w:lang w:val="en-US" w:eastAsia="zh-CN"/>
        </w:rPr>
      </w:pPr>
    </w:p>
    <w:p w14:paraId="503E6234">
      <w:pPr>
        <w:pStyle w:val="5"/>
        <w:widowControl/>
        <w:kinsoku/>
        <w:topLinePunct w:val="0"/>
        <w:autoSpaceDE w:val="0"/>
        <w:autoSpaceDN w:val="0"/>
        <w:bidi w:val="0"/>
        <w:adjustRightInd w:val="0"/>
        <w:snapToGrid w:val="0"/>
        <w:jc w:val="center"/>
        <w:rPr>
          <w:rFonts w:hint="eastAsia" w:ascii="仿宋" w:hAnsi="仿宋" w:eastAsia="仿宋" w:cs="仿宋"/>
          <w:color w:val="auto"/>
          <w:sz w:val="22"/>
          <w:szCs w:val="22"/>
          <w:highlight w:val="none"/>
          <w:lang w:val="en-US" w:eastAsia="zh-CN"/>
        </w:rPr>
      </w:pPr>
      <w:bookmarkStart w:id="7" w:name="_Toc21959"/>
      <w:r>
        <w:rPr>
          <w:rFonts w:hint="eastAsia" w:ascii="仿宋" w:hAnsi="仿宋" w:eastAsia="仿宋" w:cs="仿宋"/>
          <w:color w:val="auto"/>
          <w:sz w:val="22"/>
          <w:szCs w:val="22"/>
          <w:highlight w:val="none"/>
          <w:lang w:val="en-US" w:eastAsia="zh-CN"/>
        </w:rPr>
        <w:t>第一节技术要求</w:t>
      </w:r>
      <w:bookmarkEnd w:id="7"/>
    </w:p>
    <w:p w14:paraId="6233FB94">
      <w:pPr>
        <w:widowControl/>
        <w:kinsoku/>
        <w:topLinePunct w:val="0"/>
        <w:autoSpaceDE w:val="0"/>
        <w:autoSpaceDN w:val="0"/>
        <w:bidi w:val="0"/>
        <w:adjustRightInd w:val="0"/>
        <w:snapToGrid w:val="0"/>
        <w:spacing w:before="240" w:line="212" w:lineRule="auto"/>
        <w:ind w:left="235"/>
        <w:jc w:val="center"/>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9"/>
          <w:sz w:val="28"/>
          <w:szCs w:val="28"/>
          <w:highlight w:val="none"/>
        </w:rPr>
        <w:t>茅台镇机关食堂餐饮服务项目采购实施方案</w:t>
      </w:r>
    </w:p>
    <w:p w14:paraId="38EC3A7A">
      <w:pPr>
        <w:widowControl/>
        <w:kinsoku/>
        <w:topLinePunct w:val="0"/>
        <w:autoSpaceDE w:val="0"/>
        <w:autoSpaceDN w:val="0"/>
        <w:bidi w:val="0"/>
        <w:adjustRightInd w:val="0"/>
        <w:snapToGrid w:val="0"/>
        <w:spacing w:line="268" w:lineRule="auto"/>
        <w:rPr>
          <w:rFonts w:ascii="Arial"/>
          <w:color w:val="auto"/>
          <w:sz w:val="21"/>
          <w:highlight w:val="none"/>
        </w:rPr>
      </w:pPr>
    </w:p>
    <w:p w14:paraId="035B531D">
      <w:pPr>
        <w:widowControl/>
        <w:kinsoku/>
        <w:topLinePunct w:val="0"/>
        <w:autoSpaceDE w:val="0"/>
        <w:autoSpaceDN w:val="0"/>
        <w:bidi w:val="0"/>
        <w:adjustRightInd w:val="0"/>
        <w:snapToGrid w:val="0"/>
        <w:spacing w:line="268" w:lineRule="auto"/>
        <w:rPr>
          <w:rFonts w:ascii="Arial"/>
          <w:color w:val="auto"/>
          <w:sz w:val="21"/>
          <w:highlight w:val="none"/>
        </w:rPr>
      </w:pPr>
    </w:p>
    <w:p w14:paraId="7616288C">
      <w:pPr>
        <w:widowControl/>
        <w:kinsoku/>
        <w:topLinePunct w:val="0"/>
        <w:autoSpaceDE w:val="0"/>
        <w:autoSpaceDN w:val="0"/>
        <w:bidi w:val="0"/>
        <w:adjustRightInd w:val="0"/>
        <w:snapToGrid w:val="0"/>
        <w:spacing w:before="100" w:line="226" w:lineRule="auto"/>
        <w:ind w:left="645"/>
        <w:outlineLvl w:val="0"/>
        <w:rPr>
          <w:rFonts w:ascii="黑体" w:hAnsi="黑体" w:eastAsia="黑体" w:cs="黑体"/>
          <w:color w:val="auto"/>
          <w:sz w:val="24"/>
          <w:szCs w:val="24"/>
          <w:highlight w:val="none"/>
        </w:rPr>
      </w:pPr>
      <w:r>
        <w:rPr>
          <w:rFonts w:ascii="黑体" w:hAnsi="黑体" w:eastAsia="黑体" w:cs="黑体"/>
          <w:color w:val="auto"/>
          <w:spacing w:val="7"/>
          <w:sz w:val="24"/>
          <w:szCs w:val="24"/>
          <w:highlight w:val="none"/>
        </w:rPr>
        <w:t>一、项目概述</w:t>
      </w:r>
    </w:p>
    <w:p w14:paraId="6C6041CE">
      <w:pPr>
        <w:pStyle w:val="9"/>
        <w:widowControl/>
        <w:kinsoku/>
        <w:topLinePunct w:val="0"/>
        <w:autoSpaceDE w:val="0"/>
        <w:autoSpaceDN w:val="0"/>
        <w:bidi w:val="0"/>
        <w:adjustRightInd w:val="0"/>
        <w:snapToGrid w:val="0"/>
        <w:spacing w:before="204" w:line="345" w:lineRule="auto"/>
        <w:ind w:firstLine="650"/>
        <w:jc w:val="both"/>
        <w:rPr>
          <w:color w:val="auto"/>
          <w:sz w:val="24"/>
          <w:szCs w:val="24"/>
          <w:highlight w:val="none"/>
        </w:rPr>
      </w:pPr>
      <w:r>
        <w:rPr>
          <w:color w:val="auto"/>
          <w:spacing w:val="8"/>
          <w:sz w:val="24"/>
          <w:szCs w:val="24"/>
          <w:highlight w:val="none"/>
        </w:rPr>
        <w:t>为保障镇我镇工作人员日常用餐需求，提升</w:t>
      </w:r>
      <w:r>
        <w:rPr>
          <w:color w:val="auto"/>
          <w:spacing w:val="7"/>
          <w:sz w:val="24"/>
          <w:szCs w:val="24"/>
          <w:highlight w:val="none"/>
        </w:rPr>
        <w:t>后勤服务质量，</w:t>
      </w:r>
      <w:r>
        <w:rPr>
          <w:color w:val="auto"/>
          <w:spacing w:val="5"/>
          <w:sz w:val="24"/>
          <w:szCs w:val="24"/>
          <w:highlight w:val="none"/>
        </w:rPr>
        <w:t>规范机关食堂餐饮服务采购流程，现启动机关食堂餐饮服务项目</w:t>
      </w:r>
      <w:r>
        <w:rPr>
          <w:color w:val="auto"/>
          <w:spacing w:val="-3"/>
          <w:sz w:val="24"/>
          <w:szCs w:val="24"/>
          <w:highlight w:val="none"/>
        </w:rPr>
        <w:t>采购工作。通过公开、公平、公正的采购方式，遴选优质供应商，</w:t>
      </w:r>
      <w:r>
        <w:rPr>
          <w:color w:val="auto"/>
          <w:spacing w:val="8"/>
          <w:sz w:val="24"/>
          <w:szCs w:val="24"/>
          <w:highlight w:val="none"/>
        </w:rPr>
        <w:t>为全镇干部提供安全、健康、营养的餐饮服务。</w:t>
      </w:r>
    </w:p>
    <w:p w14:paraId="4897BCAE">
      <w:pPr>
        <w:widowControl/>
        <w:kinsoku/>
        <w:topLinePunct w:val="0"/>
        <w:autoSpaceDE w:val="0"/>
        <w:autoSpaceDN w:val="0"/>
        <w:bidi w:val="0"/>
        <w:adjustRightInd w:val="0"/>
        <w:snapToGrid w:val="0"/>
        <w:spacing w:line="226" w:lineRule="auto"/>
        <w:ind w:left="645"/>
        <w:outlineLvl w:val="0"/>
        <w:rPr>
          <w:rFonts w:ascii="黑体" w:hAnsi="黑体" w:eastAsia="黑体" w:cs="黑体"/>
          <w:color w:val="auto"/>
          <w:sz w:val="24"/>
          <w:szCs w:val="24"/>
          <w:highlight w:val="none"/>
        </w:rPr>
      </w:pPr>
      <w:r>
        <w:rPr>
          <w:rFonts w:ascii="黑体" w:hAnsi="黑体" w:eastAsia="黑体" w:cs="黑体"/>
          <w:color w:val="auto"/>
          <w:spacing w:val="6"/>
          <w:sz w:val="24"/>
          <w:szCs w:val="24"/>
          <w:highlight w:val="none"/>
        </w:rPr>
        <w:t>二、招标方式</w:t>
      </w:r>
    </w:p>
    <w:p w14:paraId="6091EEC6">
      <w:pPr>
        <w:pStyle w:val="9"/>
        <w:widowControl/>
        <w:kinsoku/>
        <w:topLinePunct w:val="0"/>
        <w:autoSpaceDE w:val="0"/>
        <w:autoSpaceDN w:val="0"/>
        <w:bidi w:val="0"/>
        <w:adjustRightInd w:val="0"/>
        <w:snapToGrid w:val="0"/>
        <w:spacing w:before="201" w:line="345" w:lineRule="auto"/>
        <w:ind w:left="3" w:right="81" w:firstLine="675"/>
        <w:jc w:val="both"/>
        <w:rPr>
          <w:color w:val="auto"/>
          <w:sz w:val="24"/>
          <w:szCs w:val="24"/>
          <w:highlight w:val="none"/>
        </w:rPr>
      </w:pPr>
      <w:r>
        <w:rPr>
          <w:color w:val="auto"/>
          <w:spacing w:val="3"/>
          <w:sz w:val="24"/>
          <w:szCs w:val="24"/>
          <w:highlight w:val="none"/>
        </w:rPr>
        <w:t>因用餐标准调整及干部职工用餐刷卡人数的不确定性，全年</w:t>
      </w:r>
      <w:r>
        <w:rPr>
          <w:color w:val="auto"/>
          <w:spacing w:val="5"/>
          <w:sz w:val="24"/>
          <w:szCs w:val="24"/>
          <w:highlight w:val="none"/>
        </w:rPr>
        <w:t>总费用无法精准测算，为有效</w:t>
      </w:r>
      <w:r>
        <w:rPr>
          <w:color w:val="auto"/>
          <w:spacing w:val="5"/>
          <w:sz w:val="24"/>
          <w:szCs w:val="24"/>
          <w:highlight w:val="none"/>
        </w:rPr>
        <w:t>控制成本，本次机关食堂餐饮服务</w:t>
      </w:r>
      <w:r>
        <w:rPr>
          <w:color w:val="auto"/>
          <w:spacing w:val="3"/>
          <w:sz w:val="24"/>
          <w:szCs w:val="24"/>
          <w:highlight w:val="none"/>
        </w:rPr>
        <w:t>项目采购采取单价招标方式进行，</w:t>
      </w:r>
      <w:r>
        <w:rPr>
          <w:color w:val="auto"/>
          <w:spacing w:val="3"/>
          <w:sz w:val="24"/>
          <w:szCs w:val="24"/>
          <w:highlight w:val="none"/>
        </w:rPr>
        <w:t>即按照早餐11元/人、</w:t>
      </w:r>
      <w:r>
        <w:rPr>
          <w:color w:val="auto"/>
          <w:spacing w:val="3"/>
          <w:sz w:val="24"/>
          <w:szCs w:val="24"/>
          <w:highlight w:val="none"/>
        </w:rPr>
        <w:t>午</w:t>
      </w:r>
      <w:r>
        <w:rPr>
          <w:rFonts w:hint="eastAsia"/>
          <w:color w:val="auto"/>
          <w:spacing w:val="3"/>
          <w:sz w:val="24"/>
          <w:szCs w:val="24"/>
          <w:highlight w:val="none"/>
          <w:lang w:val="en-US" w:eastAsia="zh-CN"/>
        </w:rPr>
        <w:t>餐</w:t>
      </w:r>
      <w:r>
        <w:rPr>
          <w:rFonts w:hint="eastAsia"/>
          <w:color w:val="auto"/>
          <w:spacing w:val="3"/>
          <w:sz w:val="24"/>
          <w:szCs w:val="24"/>
          <w:highlight w:val="none"/>
          <w:lang w:val="en-US" w:eastAsia="zh-CN"/>
        </w:rPr>
        <w:t>或</w:t>
      </w:r>
      <w:r>
        <w:rPr>
          <w:color w:val="auto"/>
          <w:spacing w:val="3"/>
          <w:sz w:val="24"/>
          <w:szCs w:val="24"/>
          <w:highlight w:val="none"/>
        </w:rPr>
        <w:t>晚餐</w:t>
      </w:r>
      <w:r>
        <w:rPr>
          <w:color w:val="auto"/>
          <w:spacing w:val="3"/>
          <w:sz w:val="24"/>
          <w:szCs w:val="24"/>
          <w:highlight w:val="none"/>
        </w:rPr>
        <w:t>16元/人，服务期限2年进行单价招标。</w:t>
      </w:r>
    </w:p>
    <w:p w14:paraId="38F19524">
      <w:pPr>
        <w:widowControl/>
        <w:kinsoku/>
        <w:topLinePunct w:val="0"/>
        <w:autoSpaceDE w:val="0"/>
        <w:autoSpaceDN w:val="0"/>
        <w:bidi w:val="0"/>
        <w:adjustRightInd w:val="0"/>
        <w:snapToGrid w:val="0"/>
        <w:spacing w:before="2" w:line="227" w:lineRule="auto"/>
        <w:ind w:left="647"/>
        <w:outlineLvl w:val="0"/>
        <w:rPr>
          <w:rFonts w:ascii="黑体" w:hAnsi="黑体" w:eastAsia="黑体" w:cs="黑体"/>
          <w:color w:val="auto"/>
          <w:sz w:val="24"/>
          <w:szCs w:val="24"/>
          <w:highlight w:val="none"/>
        </w:rPr>
      </w:pPr>
      <w:r>
        <w:rPr>
          <w:rFonts w:ascii="黑体" w:hAnsi="黑体" w:eastAsia="黑体" w:cs="黑体"/>
          <w:color w:val="auto"/>
          <w:spacing w:val="6"/>
          <w:sz w:val="24"/>
          <w:szCs w:val="24"/>
          <w:highlight w:val="none"/>
        </w:rPr>
        <w:t>三、用餐标准</w:t>
      </w:r>
    </w:p>
    <w:p w14:paraId="503ABB29">
      <w:pPr>
        <w:widowControl/>
        <w:kinsoku/>
        <w:topLinePunct w:val="0"/>
        <w:autoSpaceDE w:val="0"/>
        <w:autoSpaceDN w:val="0"/>
        <w:bidi w:val="0"/>
        <w:adjustRightInd w:val="0"/>
        <w:snapToGrid w:val="0"/>
        <w:spacing w:before="199" w:line="222" w:lineRule="auto"/>
        <w:ind w:left="660"/>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1.</w:t>
      </w:r>
      <w:r>
        <w:rPr>
          <w:rFonts w:ascii="楷体" w:hAnsi="楷体" w:eastAsia="楷体" w:cs="楷体"/>
          <w:color w:val="auto"/>
          <w:spacing w:val="-64"/>
          <w:sz w:val="24"/>
          <w:szCs w:val="24"/>
          <w:highlight w:val="none"/>
        </w:rPr>
        <w:t xml:space="preserve"> </w:t>
      </w:r>
      <w:r>
        <w:rPr>
          <w:rFonts w:ascii="楷体" w:hAnsi="楷体" w:eastAsia="楷体" w:cs="楷体"/>
          <w:color w:val="auto"/>
          <w:spacing w:val="2"/>
          <w:sz w:val="24"/>
          <w:szCs w:val="24"/>
          <w:highlight w:val="none"/>
        </w:rPr>
        <w:t>餐标设定</w:t>
      </w:r>
    </w:p>
    <w:p w14:paraId="1195EB7B">
      <w:pPr>
        <w:pStyle w:val="9"/>
        <w:widowControl/>
        <w:kinsoku/>
        <w:topLinePunct w:val="0"/>
        <w:autoSpaceDE w:val="0"/>
        <w:autoSpaceDN w:val="0"/>
        <w:bidi w:val="0"/>
        <w:adjustRightInd w:val="0"/>
        <w:snapToGrid w:val="0"/>
        <w:spacing w:before="205" w:line="346" w:lineRule="auto"/>
        <w:ind w:left="13" w:right="12" w:firstLine="633"/>
        <w:rPr>
          <w:color w:val="auto"/>
          <w:sz w:val="24"/>
          <w:szCs w:val="24"/>
          <w:highlight w:val="none"/>
        </w:rPr>
      </w:pPr>
      <w:r>
        <w:rPr>
          <w:color w:val="auto"/>
          <w:spacing w:val="4"/>
          <w:sz w:val="24"/>
          <w:szCs w:val="24"/>
          <w:highlight w:val="none"/>
        </w:rPr>
        <w:t>参照仁怀市人民政府办公室关于《仁怀市机关事务服务中心</w:t>
      </w:r>
      <w:r>
        <w:rPr>
          <w:color w:val="auto"/>
          <w:spacing w:val="-4"/>
          <w:sz w:val="24"/>
          <w:szCs w:val="24"/>
          <w:highlight w:val="none"/>
        </w:rPr>
        <w:t>关于市机关食堂餐费价格调整的请示》的批示意见，餐标设定为：</w:t>
      </w:r>
    </w:p>
    <w:p w14:paraId="4003412B">
      <w:pPr>
        <w:pStyle w:val="9"/>
        <w:widowControl/>
        <w:kinsoku/>
        <w:topLinePunct w:val="0"/>
        <w:autoSpaceDE w:val="0"/>
        <w:autoSpaceDN w:val="0"/>
        <w:bidi w:val="0"/>
        <w:adjustRightInd w:val="0"/>
        <w:snapToGrid w:val="0"/>
        <w:spacing w:before="2" w:line="345" w:lineRule="auto"/>
        <w:ind w:left="11" w:right="82" w:firstLine="643"/>
        <w:rPr>
          <w:color w:val="auto"/>
          <w:sz w:val="24"/>
          <w:szCs w:val="24"/>
          <w:highlight w:val="none"/>
        </w:rPr>
      </w:pPr>
      <w:r>
        <w:rPr>
          <w:color w:val="auto"/>
          <w:spacing w:val="2"/>
          <w:sz w:val="24"/>
          <w:szCs w:val="24"/>
          <w:highlight w:val="none"/>
        </w:rPr>
        <w:t>职工餐：早餐</w:t>
      </w:r>
      <w:r>
        <w:rPr>
          <w:color w:val="auto"/>
          <w:spacing w:val="-34"/>
          <w:sz w:val="24"/>
          <w:szCs w:val="24"/>
          <w:highlight w:val="none"/>
        </w:rPr>
        <w:t xml:space="preserve"> </w:t>
      </w:r>
      <w:r>
        <w:rPr>
          <w:color w:val="auto"/>
          <w:spacing w:val="2"/>
          <w:sz w:val="24"/>
          <w:szCs w:val="24"/>
          <w:highlight w:val="none"/>
        </w:rPr>
        <w:t>11</w:t>
      </w:r>
      <w:r>
        <w:rPr>
          <w:color w:val="auto"/>
          <w:spacing w:val="-51"/>
          <w:sz w:val="24"/>
          <w:szCs w:val="24"/>
          <w:highlight w:val="none"/>
        </w:rPr>
        <w:t xml:space="preserve"> </w:t>
      </w:r>
      <w:r>
        <w:rPr>
          <w:color w:val="auto"/>
          <w:spacing w:val="2"/>
          <w:sz w:val="24"/>
          <w:szCs w:val="24"/>
          <w:highlight w:val="none"/>
        </w:rPr>
        <w:t>元/人（干部职工刷卡</w:t>
      </w:r>
      <w:r>
        <w:rPr>
          <w:color w:val="auto"/>
          <w:spacing w:val="-41"/>
          <w:sz w:val="24"/>
          <w:szCs w:val="24"/>
          <w:highlight w:val="none"/>
        </w:rPr>
        <w:t xml:space="preserve"> </w:t>
      </w:r>
      <w:r>
        <w:rPr>
          <w:color w:val="auto"/>
          <w:spacing w:val="2"/>
          <w:sz w:val="24"/>
          <w:szCs w:val="24"/>
          <w:highlight w:val="none"/>
        </w:rPr>
        <w:t>1</w:t>
      </w:r>
      <w:r>
        <w:rPr>
          <w:color w:val="auto"/>
          <w:spacing w:val="-51"/>
          <w:sz w:val="24"/>
          <w:szCs w:val="24"/>
          <w:highlight w:val="none"/>
        </w:rPr>
        <w:t xml:space="preserve"> </w:t>
      </w:r>
      <w:r>
        <w:rPr>
          <w:color w:val="auto"/>
          <w:spacing w:val="2"/>
          <w:sz w:val="24"/>
          <w:szCs w:val="24"/>
          <w:highlight w:val="none"/>
        </w:rPr>
        <w:t>元，单位补助10元</w:t>
      </w:r>
      <w:r>
        <w:rPr>
          <w:color w:val="auto"/>
          <w:spacing w:val="-75"/>
          <w:sz w:val="24"/>
          <w:szCs w:val="24"/>
          <w:highlight w:val="none"/>
        </w:rPr>
        <w:t>），</w:t>
      </w:r>
      <w:r>
        <w:rPr>
          <w:color w:val="auto"/>
          <w:spacing w:val="2"/>
          <w:sz w:val="24"/>
          <w:szCs w:val="24"/>
          <w:highlight w:val="none"/>
        </w:rPr>
        <w:t>午餐</w:t>
      </w:r>
      <w:r>
        <w:rPr>
          <w:rFonts w:hint="eastAsia"/>
          <w:color w:val="auto"/>
          <w:spacing w:val="2"/>
          <w:sz w:val="24"/>
          <w:szCs w:val="24"/>
          <w:highlight w:val="none"/>
          <w:lang w:val="en-US" w:eastAsia="zh-CN"/>
        </w:rPr>
        <w:t>或</w:t>
      </w:r>
      <w:r>
        <w:rPr>
          <w:color w:val="auto"/>
          <w:spacing w:val="2"/>
          <w:sz w:val="24"/>
          <w:szCs w:val="24"/>
          <w:highlight w:val="none"/>
        </w:rPr>
        <w:t>晚餐为16</w:t>
      </w:r>
      <w:r>
        <w:rPr>
          <w:color w:val="auto"/>
          <w:spacing w:val="-54"/>
          <w:sz w:val="24"/>
          <w:szCs w:val="24"/>
          <w:highlight w:val="none"/>
        </w:rPr>
        <w:t xml:space="preserve"> </w:t>
      </w:r>
      <w:r>
        <w:rPr>
          <w:color w:val="auto"/>
          <w:spacing w:val="2"/>
          <w:sz w:val="24"/>
          <w:szCs w:val="24"/>
          <w:highlight w:val="none"/>
        </w:rPr>
        <w:t>元/人（干部职工刷卡</w:t>
      </w:r>
      <w:r>
        <w:rPr>
          <w:color w:val="auto"/>
          <w:spacing w:val="-48"/>
          <w:sz w:val="24"/>
          <w:szCs w:val="24"/>
          <w:highlight w:val="none"/>
        </w:rPr>
        <w:t xml:space="preserve"> </w:t>
      </w:r>
      <w:r>
        <w:rPr>
          <w:color w:val="auto"/>
          <w:spacing w:val="2"/>
          <w:sz w:val="24"/>
          <w:szCs w:val="24"/>
          <w:highlight w:val="none"/>
        </w:rPr>
        <w:t>2</w:t>
      </w:r>
      <w:r>
        <w:rPr>
          <w:color w:val="auto"/>
          <w:spacing w:val="-51"/>
          <w:sz w:val="24"/>
          <w:szCs w:val="24"/>
          <w:highlight w:val="none"/>
        </w:rPr>
        <w:t xml:space="preserve"> </w:t>
      </w:r>
      <w:r>
        <w:rPr>
          <w:color w:val="auto"/>
          <w:spacing w:val="2"/>
          <w:sz w:val="24"/>
          <w:szCs w:val="24"/>
          <w:highlight w:val="none"/>
        </w:rPr>
        <w:t>元，单位补助14</w:t>
      </w:r>
      <w:r>
        <w:rPr>
          <w:color w:val="auto"/>
          <w:spacing w:val="1"/>
          <w:sz w:val="24"/>
          <w:szCs w:val="24"/>
          <w:highlight w:val="none"/>
        </w:rPr>
        <w:t>元）。会议餐、加班餐等按</w:t>
      </w:r>
      <w:r>
        <w:rPr>
          <w:color w:val="auto"/>
          <w:spacing w:val="2"/>
          <w:sz w:val="24"/>
          <w:szCs w:val="24"/>
          <w:highlight w:val="none"/>
        </w:rPr>
        <w:t>午餐</w:t>
      </w:r>
      <w:r>
        <w:rPr>
          <w:rFonts w:hint="eastAsia"/>
          <w:color w:val="auto"/>
          <w:spacing w:val="2"/>
          <w:sz w:val="24"/>
          <w:szCs w:val="24"/>
          <w:highlight w:val="none"/>
          <w:lang w:val="en-US" w:eastAsia="zh-CN"/>
        </w:rPr>
        <w:t>或</w:t>
      </w:r>
      <w:r>
        <w:rPr>
          <w:color w:val="auto"/>
          <w:spacing w:val="2"/>
          <w:sz w:val="24"/>
          <w:szCs w:val="24"/>
          <w:highlight w:val="none"/>
        </w:rPr>
        <w:t>晚餐</w:t>
      </w:r>
      <w:r>
        <w:rPr>
          <w:color w:val="auto"/>
          <w:spacing w:val="1"/>
          <w:sz w:val="24"/>
          <w:szCs w:val="24"/>
          <w:highlight w:val="none"/>
        </w:rPr>
        <w:t>用餐标准执行。</w:t>
      </w:r>
    </w:p>
    <w:p w14:paraId="5068DD8C">
      <w:pPr>
        <w:pStyle w:val="9"/>
        <w:widowControl/>
        <w:kinsoku/>
        <w:topLinePunct w:val="0"/>
        <w:autoSpaceDE w:val="0"/>
        <w:autoSpaceDN w:val="0"/>
        <w:bidi w:val="0"/>
        <w:adjustRightInd w:val="0"/>
        <w:snapToGrid w:val="0"/>
        <w:spacing w:before="1" w:line="347" w:lineRule="auto"/>
        <w:ind w:left="11" w:right="81" w:firstLine="629"/>
        <w:jc w:val="both"/>
        <w:rPr>
          <w:color w:val="auto"/>
          <w:sz w:val="24"/>
          <w:szCs w:val="24"/>
          <w:highlight w:val="none"/>
        </w:rPr>
      </w:pPr>
      <w:r>
        <w:rPr>
          <w:color w:val="auto"/>
          <w:spacing w:val="3"/>
          <w:sz w:val="24"/>
          <w:szCs w:val="24"/>
          <w:highlight w:val="none"/>
        </w:rPr>
        <w:t>接待餐：按仁办发〔2019〕22 号执行(省部级及以上80元</w:t>
      </w:r>
      <w:r>
        <w:rPr>
          <w:color w:val="auto"/>
          <w:spacing w:val="1"/>
          <w:sz w:val="24"/>
          <w:szCs w:val="24"/>
          <w:highlight w:val="none"/>
        </w:rPr>
        <w:t>/人，地厅级70元/人，县处级及以下60元/人，工作便餐30</w:t>
      </w:r>
      <w:r>
        <w:rPr>
          <w:color w:val="auto"/>
          <w:sz w:val="24"/>
          <w:szCs w:val="24"/>
          <w:highlight w:val="none"/>
        </w:rPr>
        <w:t>元/人。</w:t>
      </w:r>
    </w:p>
    <w:p w14:paraId="36A66F13">
      <w:pPr>
        <w:widowControl/>
        <w:kinsoku/>
        <w:topLinePunct w:val="0"/>
        <w:autoSpaceDE w:val="0"/>
        <w:autoSpaceDN w:val="0"/>
        <w:bidi w:val="0"/>
        <w:adjustRightInd w:val="0"/>
        <w:snapToGrid w:val="0"/>
        <w:spacing w:before="200" w:line="218" w:lineRule="auto"/>
        <w:ind w:left="655"/>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2.菜品标准</w:t>
      </w:r>
    </w:p>
    <w:p w14:paraId="50D0B682">
      <w:pPr>
        <w:pStyle w:val="9"/>
        <w:widowControl/>
        <w:kinsoku/>
        <w:topLinePunct w:val="0"/>
        <w:autoSpaceDE w:val="0"/>
        <w:autoSpaceDN w:val="0"/>
        <w:bidi w:val="0"/>
        <w:adjustRightInd w:val="0"/>
        <w:snapToGrid w:val="0"/>
        <w:spacing w:before="203" w:line="346" w:lineRule="auto"/>
        <w:ind w:right="147" w:firstLine="653"/>
        <w:rPr>
          <w:color w:val="auto"/>
          <w:sz w:val="24"/>
          <w:szCs w:val="24"/>
          <w:highlight w:val="none"/>
        </w:rPr>
      </w:pPr>
      <w:r>
        <w:rPr>
          <w:color w:val="auto"/>
          <w:spacing w:val="-6"/>
          <w:sz w:val="24"/>
          <w:szCs w:val="24"/>
          <w:highlight w:val="none"/>
        </w:rPr>
        <w:t>早餐：每日提供至少</w:t>
      </w:r>
      <w:r>
        <w:rPr>
          <w:color w:val="auto"/>
          <w:spacing w:val="-32"/>
          <w:sz w:val="24"/>
          <w:szCs w:val="24"/>
          <w:highlight w:val="none"/>
        </w:rPr>
        <w:t xml:space="preserve"> </w:t>
      </w:r>
      <w:r>
        <w:rPr>
          <w:color w:val="auto"/>
          <w:spacing w:val="-6"/>
          <w:sz w:val="24"/>
          <w:szCs w:val="24"/>
          <w:highlight w:val="none"/>
        </w:rPr>
        <w:t>2</w:t>
      </w:r>
      <w:r>
        <w:rPr>
          <w:color w:val="auto"/>
          <w:spacing w:val="-57"/>
          <w:sz w:val="24"/>
          <w:szCs w:val="24"/>
          <w:highlight w:val="none"/>
        </w:rPr>
        <w:t xml:space="preserve"> </w:t>
      </w:r>
      <w:r>
        <w:rPr>
          <w:color w:val="auto"/>
          <w:spacing w:val="-6"/>
          <w:sz w:val="24"/>
          <w:szCs w:val="24"/>
          <w:highlight w:val="none"/>
        </w:rPr>
        <w:t>种主食（如面条、米粉、米皮、稀饭、</w:t>
      </w:r>
      <w:r>
        <w:rPr>
          <w:color w:val="auto"/>
          <w:sz w:val="24"/>
          <w:szCs w:val="24"/>
          <w:highlight w:val="none"/>
        </w:rPr>
        <w:t xml:space="preserve"> </w:t>
      </w:r>
      <w:r>
        <w:rPr>
          <w:color w:val="auto"/>
          <w:spacing w:val="4"/>
          <w:sz w:val="24"/>
          <w:szCs w:val="24"/>
          <w:highlight w:val="none"/>
        </w:rPr>
        <w:t>饺子、抄手、糯米饭、汤圆等</w:t>
      </w:r>
      <w:r>
        <w:rPr>
          <w:color w:val="auto"/>
          <w:spacing w:val="-57"/>
          <w:sz w:val="24"/>
          <w:szCs w:val="24"/>
          <w:highlight w:val="none"/>
        </w:rPr>
        <w:t>）；</w:t>
      </w:r>
      <w:r>
        <w:rPr>
          <w:color w:val="auto"/>
          <w:spacing w:val="4"/>
          <w:sz w:val="24"/>
          <w:szCs w:val="24"/>
          <w:highlight w:val="none"/>
        </w:rPr>
        <w:t>2</w:t>
      </w:r>
      <w:r>
        <w:rPr>
          <w:color w:val="auto"/>
          <w:spacing w:val="-56"/>
          <w:sz w:val="24"/>
          <w:szCs w:val="24"/>
          <w:highlight w:val="none"/>
        </w:rPr>
        <w:t xml:space="preserve"> </w:t>
      </w:r>
      <w:r>
        <w:rPr>
          <w:color w:val="auto"/>
          <w:spacing w:val="4"/>
          <w:sz w:val="24"/>
          <w:szCs w:val="24"/>
          <w:highlight w:val="none"/>
        </w:rPr>
        <w:t>种面点或糕点（面包、包子、</w:t>
      </w:r>
      <w:r>
        <w:rPr>
          <w:color w:val="auto"/>
          <w:spacing w:val="-6"/>
          <w:sz w:val="24"/>
          <w:szCs w:val="24"/>
          <w:highlight w:val="none"/>
        </w:rPr>
        <w:t>粗粮、鸡蛋等</w:t>
      </w:r>
      <w:r>
        <w:rPr>
          <w:color w:val="auto"/>
          <w:spacing w:val="-74"/>
          <w:sz w:val="24"/>
          <w:szCs w:val="24"/>
          <w:highlight w:val="none"/>
        </w:rPr>
        <w:t>）；</w:t>
      </w:r>
      <w:r>
        <w:rPr>
          <w:color w:val="auto"/>
          <w:spacing w:val="-6"/>
          <w:sz w:val="24"/>
          <w:szCs w:val="24"/>
          <w:highlight w:val="none"/>
        </w:rPr>
        <w:t>2</w:t>
      </w:r>
      <w:r>
        <w:rPr>
          <w:color w:val="auto"/>
          <w:spacing w:val="-56"/>
          <w:sz w:val="24"/>
          <w:szCs w:val="24"/>
          <w:highlight w:val="none"/>
        </w:rPr>
        <w:t xml:space="preserve"> </w:t>
      </w:r>
      <w:r>
        <w:rPr>
          <w:color w:val="auto"/>
          <w:spacing w:val="-6"/>
          <w:sz w:val="24"/>
          <w:szCs w:val="24"/>
          <w:highlight w:val="none"/>
        </w:rPr>
        <w:t>种营养饮品（盒装酸奶、盒装牛奶、豆浆等）。</w:t>
      </w:r>
      <w:r>
        <w:rPr>
          <w:color w:val="auto"/>
          <w:spacing w:val="-2"/>
          <w:sz w:val="24"/>
          <w:szCs w:val="24"/>
          <w:highlight w:val="none"/>
        </w:rPr>
        <w:t>午餐</w:t>
      </w:r>
      <w:r>
        <w:rPr>
          <w:rFonts w:hint="eastAsia"/>
          <w:color w:val="auto"/>
          <w:spacing w:val="-2"/>
          <w:sz w:val="24"/>
          <w:szCs w:val="24"/>
          <w:highlight w:val="none"/>
          <w:lang w:val="en-US" w:eastAsia="zh-CN"/>
        </w:rPr>
        <w:t>或</w:t>
      </w:r>
      <w:r>
        <w:rPr>
          <w:color w:val="auto"/>
          <w:spacing w:val="-2"/>
          <w:sz w:val="24"/>
          <w:szCs w:val="24"/>
          <w:highlight w:val="none"/>
        </w:rPr>
        <w:t>晚餐：午餐提供至少4荤3素1汤及当季水果，晚餐可酌</w:t>
      </w:r>
      <w:r>
        <w:rPr>
          <w:color w:val="auto"/>
          <w:spacing w:val="-9"/>
          <w:sz w:val="24"/>
          <w:szCs w:val="24"/>
          <w:highlight w:val="none"/>
        </w:rPr>
        <w:t>情减少菜品，但至少保证2荤2素1汤。菜品每周更新一次食谱，</w:t>
      </w:r>
      <w:r>
        <w:rPr>
          <w:color w:val="auto"/>
          <w:spacing w:val="5"/>
          <w:sz w:val="24"/>
          <w:szCs w:val="24"/>
          <w:highlight w:val="none"/>
        </w:rPr>
        <w:t>确保营养均衡，兼顾不同口味需求。主食需合理搭配白米饭与杂粮饭；荤菜需包含禽肉、畜肉、鱼肉等不同品类；素菜应选用新</w:t>
      </w:r>
      <w:r>
        <w:rPr>
          <w:color w:val="auto"/>
          <w:spacing w:val="4"/>
          <w:sz w:val="24"/>
          <w:szCs w:val="24"/>
          <w:highlight w:val="none"/>
        </w:rPr>
        <w:t>鲜时令蔬菜；汤品需营养丰富、</w:t>
      </w:r>
      <w:r>
        <w:rPr>
          <w:color w:val="auto"/>
          <w:spacing w:val="-63"/>
          <w:sz w:val="24"/>
          <w:szCs w:val="24"/>
          <w:highlight w:val="none"/>
        </w:rPr>
        <w:t xml:space="preserve"> </w:t>
      </w:r>
      <w:r>
        <w:rPr>
          <w:color w:val="auto"/>
          <w:spacing w:val="4"/>
          <w:sz w:val="24"/>
          <w:szCs w:val="24"/>
          <w:highlight w:val="none"/>
        </w:rPr>
        <w:t>口味多样。</w:t>
      </w:r>
    </w:p>
    <w:p w14:paraId="7EBCA308">
      <w:pPr>
        <w:widowControl/>
        <w:kinsoku/>
        <w:topLinePunct w:val="0"/>
        <w:autoSpaceDE w:val="0"/>
        <w:autoSpaceDN w:val="0"/>
        <w:bidi w:val="0"/>
        <w:adjustRightInd w:val="0"/>
        <w:snapToGrid w:val="0"/>
        <w:spacing w:before="2" w:line="223" w:lineRule="auto"/>
        <w:ind w:left="668"/>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3.</w:t>
      </w:r>
      <w:r>
        <w:rPr>
          <w:rFonts w:ascii="楷体" w:hAnsi="楷体" w:eastAsia="楷体" w:cs="楷体"/>
          <w:color w:val="auto"/>
          <w:spacing w:val="-51"/>
          <w:sz w:val="24"/>
          <w:szCs w:val="24"/>
          <w:highlight w:val="none"/>
        </w:rPr>
        <w:t xml:space="preserve"> </w:t>
      </w:r>
      <w:r>
        <w:rPr>
          <w:rFonts w:ascii="楷体" w:hAnsi="楷体" w:eastAsia="楷体" w:cs="楷体"/>
          <w:color w:val="auto"/>
          <w:spacing w:val="-1"/>
          <w:sz w:val="24"/>
          <w:szCs w:val="24"/>
          <w:highlight w:val="none"/>
        </w:rPr>
        <w:t>卫生标准</w:t>
      </w:r>
    </w:p>
    <w:p w14:paraId="3C813DC0">
      <w:pPr>
        <w:pStyle w:val="9"/>
        <w:widowControl/>
        <w:kinsoku/>
        <w:topLinePunct w:val="0"/>
        <w:autoSpaceDE w:val="0"/>
        <w:autoSpaceDN w:val="0"/>
        <w:bidi w:val="0"/>
        <w:adjustRightInd w:val="0"/>
        <w:snapToGrid w:val="0"/>
        <w:spacing w:before="206" w:line="345" w:lineRule="auto"/>
        <w:ind w:left="2" w:right="160" w:firstLine="634"/>
        <w:rPr>
          <w:color w:val="auto"/>
          <w:sz w:val="24"/>
          <w:szCs w:val="24"/>
          <w:highlight w:val="none"/>
        </w:rPr>
      </w:pPr>
      <w:r>
        <w:rPr>
          <w:color w:val="auto"/>
          <w:spacing w:val="8"/>
          <w:sz w:val="24"/>
          <w:szCs w:val="24"/>
          <w:highlight w:val="none"/>
        </w:rPr>
        <w:t>严格遵守《中华人民共和国食品安全法》等相关法律法规，</w:t>
      </w:r>
      <w:r>
        <w:rPr>
          <w:color w:val="auto"/>
          <w:spacing w:val="-3"/>
          <w:sz w:val="24"/>
          <w:szCs w:val="24"/>
          <w:highlight w:val="none"/>
        </w:rPr>
        <w:t>食材采购需新鲜、安全，餐具严格消毒，食堂操作环境干净整洁，</w:t>
      </w:r>
      <w:r>
        <w:rPr>
          <w:color w:val="auto"/>
          <w:spacing w:val="8"/>
          <w:sz w:val="24"/>
          <w:szCs w:val="24"/>
          <w:highlight w:val="none"/>
        </w:rPr>
        <w:t>达到国家规定的餐饮卫生标准。</w:t>
      </w:r>
    </w:p>
    <w:p w14:paraId="39B56078">
      <w:pPr>
        <w:widowControl/>
        <w:kinsoku/>
        <w:topLinePunct w:val="0"/>
        <w:autoSpaceDE w:val="0"/>
        <w:autoSpaceDN w:val="0"/>
        <w:bidi w:val="0"/>
        <w:adjustRightInd w:val="0"/>
        <w:snapToGrid w:val="0"/>
        <w:spacing w:line="226" w:lineRule="auto"/>
        <w:ind w:left="820"/>
        <w:outlineLvl w:val="0"/>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rPr>
        <w:t>四、预算编制</w:t>
      </w:r>
    </w:p>
    <w:p w14:paraId="164B34AF">
      <w:pPr>
        <w:pStyle w:val="9"/>
        <w:widowControl/>
        <w:kinsoku/>
        <w:topLinePunct w:val="0"/>
        <w:autoSpaceDE w:val="0"/>
        <w:autoSpaceDN w:val="0"/>
        <w:bidi w:val="0"/>
        <w:adjustRightInd w:val="0"/>
        <w:snapToGrid w:val="0"/>
        <w:spacing w:before="203" w:line="220" w:lineRule="auto"/>
        <w:ind w:firstLine="492" w:firstLineChars="200"/>
        <w:rPr>
          <w:color w:val="auto"/>
          <w:sz w:val="24"/>
          <w:szCs w:val="24"/>
          <w:highlight w:val="none"/>
        </w:rPr>
      </w:pPr>
      <w:r>
        <w:rPr>
          <w:rFonts w:ascii="楷体" w:hAnsi="楷体" w:eastAsia="楷体" w:cs="楷体"/>
          <w:color w:val="auto"/>
          <w:spacing w:val="3"/>
          <w:sz w:val="24"/>
          <w:szCs w:val="24"/>
          <w:highlight w:val="none"/>
        </w:rPr>
        <w:t>1.</w:t>
      </w:r>
      <w:r>
        <w:rPr>
          <w:rFonts w:ascii="楷体" w:hAnsi="楷体" w:eastAsia="楷体" w:cs="楷体"/>
          <w:color w:val="auto"/>
          <w:spacing w:val="-30"/>
          <w:sz w:val="24"/>
          <w:szCs w:val="24"/>
          <w:highlight w:val="none"/>
        </w:rPr>
        <w:t xml:space="preserve"> </w:t>
      </w:r>
      <w:r>
        <w:rPr>
          <w:rFonts w:ascii="楷体" w:hAnsi="楷体" w:eastAsia="楷体" w:cs="楷体"/>
          <w:color w:val="auto"/>
          <w:spacing w:val="3"/>
          <w:sz w:val="24"/>
          <w:szCs w:val="24"/>
          <w:highlight w:val="none"/>
        </w:rPr>
        <w:t>测算目的：</w:t>
      </w:r>
      <w:r>
        <w:rPr>
          <w:color w:val="auto"/>
          <w:spacing w:val="3"/>
          <w:sz w:val="24"/>
          <w:szCs w:val="24"/>
          <w:highlight w:val="none"/>
        </w:rPr>
        <w:t>由于餐标调整及刷卡用餐人数的不确定性，</w:t>
      </w:r>
      <w:r>
        <w:rPr>
          <w:color w:val="auto"/>
          <w:spacing w:val="5"/>
          <w:sz w:val="24"/>
          <w:szCs w:val="24"/>
          <w:highlight w:val="none"/>
        </w:rPr>
        <w:t>本次采用单价招标方式进行招标，为在整体上控制成本，为招标</w:t>
      </w:r>
      <w:r>
        <w:rPr>
          <w:color w:val="auto"/>
          <w:spacing w:val="3"/>
          <w:sz w:val="24"/>
          <w:szCs w:val="24"/>
          <w:highlight w:val="none"/>
        </w:rPr>
        <w:t>工作提供相应依据，以餐标调整幅度比例及预估用餐人数</w:t>
      </w:r>
      <w:r>
        <w:rPr>
          <w:color w:val="auto"/>
          <w:spacing w:val="2"/>
          <w:sz w:val="24"/>
          <w:szCs w:val="24"/>
          <w:highlight w:val="none"/>
        </w:rPr>
        <w:t>的方式，</w:t>
      </w:r>
      <w:r>
        <w:rPr>
          <w:color w:val="auto"/>
          <w:spacing w:val="7"/>
          <w:sz w:val="24"/>
          <w:szCs w:val="24"/>
          <w:highlight w:val="none"/>
        </w:rPr>
        <w:t>粗略测算全年费用。</w:t>
      </w:r>
    </w:p>
    <w:p w14:paraId="670F7A55">
      <w:pPr>
        <w:pStyle w:val="9"/>
        <w:widowControl/>
        <w:kinsoku/>
        <w:topLinePunct w:val="0"/>
        <w:autoSpaceDE w:val="0"/>
        <w:autoSpaceDN w:val="0"/>
        <w:bidi w:val="0"/>
        <w:adjustRightInd w:val="0"/>
        <w:snapToGrid w:val="0"/>
        <w:spacing w:before="208" w:line="283" w:lineRule="auto"/>
        <w:ind w:left="2" w:right="244" w:firstLine="653"/>
        <w:rPr>
          <w:color w:val="auto"/>
          <w:sz w:val="24"/>
          <w:szCs w:val="24"/>
          <w:highlight w:val="none"/>
        </w:rPr>
      </w:pPr>
      <w:r>
        <w:rPr>
          <w:rFonts w:ascii="楷体" w:hAnsi="楷体" w:eastAsia="楷体" w:cs="楷体"/>
          <w:color w:val="auto"/>
          <w:spacing w:val="4"/>
          <w:sz w:val="24"/>
          <w:szCs w:val="24"/>
          <w:highlight w:val="none"/>
        </w:rPr>
        <w:t>2.预算依据：</w:t>
      </w:r>
      <w:r>
        <w:rPr>
          <w:color w:val="auto"/>
          <w:spacing w:val="4"/>
          <w:sz w:val="24"/>
          <w:szCs w:val="24"/>
          <w:highlight w:val="none"/>
        </w:rPr>
        <w:t>依据用餐标准、用餐人数、服务期限等因素进</w:t>
      </w:r>
      <w:r>
        <w:rPr>
          <w:color w:val="auto"/>
          <w:spacing w:val="5"/>
          <w:sz w:val="24"/>
          <w:szCs w:val="24"/>
          <w:highlight w:val="none"/>
        </w:rPr>
        <w:t>行预算编制。</w:t>
      </w:r>
    </w:p>
    <w:p w14:paraId="2EEC8F3B">
      <w:pPr>
        <w:pStyle w:val="9"/>
        <w:widowControl/>
        <w:kinsoku/>
        <w:topLinePunct w:val="0"/>
        <w:autoSpaceDE w:val="0"/>
        <w:autoSpaceDN w:val="0"/>
        <w:bidi w:val="0"/>
        <w:adjustRightInd w:val="0"/>
        <w:snapToGrid w:val="0"/>
        <w:spacing w:before="210" w:line="283" w:lineRule="auto"/>
        <w:ind w:left="14" w:right="359" w:firstLine="653"/>
        <w:rPr>
          <w:color w:val="auto"/>
          <w:sz w:val="24"/>
          <w:szCs w:val="24"/>
          <w:highlight w:val="none"/>
        </w:rPr>
      </w:pPr>
      <w:r>
        <w:rPr>
          <w:rFonts w:ascii="楷体" w:hAnsi="楷体" w:eastAsia="楷体" w:cs="楷体"/>
          <w:color w:val="auto"/>
          <w:spacing w:val="2"/>
          <w:sz w:val="24"/>
          <w:szCs w:val="24"/>
          <w:highlight w:val="none"/>
        </w:rPr>
        <w:t>3. 费用构成：</w:t>
      </w:r>
      <w:r>
        <w:rPr>
          <w:rFonts w:ascii="楷体" w:hAnsi="楷体" w:eastAsia="楷体" w:cs="楷体"/>
          <w:color w:val="auto"/>
          <w:spacing w:val="-67"/>
          <w:sz w:val="24"/>
          <w:szCs w:val="24"/>
          <w:highlight w:val="none"/>
        </w:rPr>
        <w:t xml:space="preserve"> </w:t>
      </w:r>
      <w:r>
        <w:rPr>
          <w:color w:val="auto"/>
          <w:spacing w:val="2"/>
          <w:sz w:val="24"/>
          <w:szCs w:val="24"/>
          <w:highlight w:val="none"/>
        </w:rPr>
        <w:t>由职工工作餐、会议用餐、加班用餐、应急</w:t>
      </w:r>
      <w:r>
        <w:rPr>
          <w:color w:val="auto"/>
          <w:spacing w:val="8"/>
          <w:sz w:val="24"/>
          <w:szCs w:val="24"/>
          <w:highlight w:val="none"/>
        </w:rPr>
        <w:t>处突便餐、接待餐等部分构成</w:t>
      </w:r>
    </w:p>
    <w:p w14:paraId="38025D2A">
      <w:pPr>
        <w:pStyle w:val="9"/>
        <w:widowControl/>
        <w:kinsoku/>
        <w:topLinePunct w:val="0"/>
        <w:autoSpaceDE w:val="0"/>
        <w:autoSpaceDN w:val="0"/>
        <w:bidi w:val="0"/>
        <w:adjustRightInd w:val="0"/>
        <w:snapToGrid w:val="0"/>
        <w:spacing w:before="207" w:line="284" w:lineRule="auto"/>
        <w:ind w:left="20" w:right="242" w:firstLine="634"/>
        <w:rPr>
          <w:color w:val="auto"/>
          <w:sz w:val="24"/>
          <w:szCs w:val="24"/>
          <w:highlight w:val="none"/>
        </w:rPr>
      </w:pPr>
      <w:r>
        <w:rPr>
          <w:rFonts w:ascii="楷体" w:hAnsi="楷体" w:eastAsia="楷体" w:cs="楷体"/>
          <w:color w:val="auto"/>
          <w:spacing w:val="4"/>
          <w:sz w:val="24"/>
          <w:szCs w:val="24"/>
          <w:highlight w:val="none"/>
        </w:rPr>
        <w:t>4.预算金额：</w:t>
      </w:r>
      <w:r>
        <w:rPr>
          <w:color w:val="auto"/>
          <w:spacing w:val="4"/>
          <w:sz w:val="24"/>
          <w:szCs w:val="24"/>
          <w:highlight w:val="none"/>
        </w:rPr>
        <w:t>根据上一年度全年费用，结合用餐标准调整涨</w:t>
      </w:r>
      <w:r>
        <w:rPr>
          <w:color w:val="auto"/>
          <w:spacing w:val="5"/>
          <w:sz w:val="24"/>
          <w:szCs w:val="24"/>
          <w:highlight w:val="none"/>
        </w:rPr>
        <w:t>幅及用餐人数，粗略测算我镇机关食堂餐饮服</w:t>
      </w:r>
      <w:r>
        <w:rPr>
          <w:color w:val="auto"/>
          <w:spacing w:val="4"/>
          <w:sz w:val="24"/>
          <w:szCs w:val="24"/>
          <w:highlight w:val="none"/>
        </w:rPr>
        <w:t>务项目一年的用餐</w:t>
      </w:r>
      <w:r>
        <w:rPr>
          <w:color w:val="auto"/>
          <w:spacing w:val="-5"/>
          <w:sz w:val="24"/>
          <w:szCs w:val="24"/>
          <w:highlight w:val="none"/>
        </w:rPr>
        <w:t>费用大概为</w:t>
      </w:r>
      <w:r>
        <w:rPr>
          <w:color w:val="auto"/>
          <w:spacing w:val="-32"/>
          <w:sz w:val="24"/>
          <w:szCs w:val="24"/>
          <w:highlight w:val="none"/>
        </w:rPr>
        <w:t xml:space="preserve"> </w:t>
      </w:r>
      <w:r>
        <w:rPr>
          <w:color w:val="auto"/>
          <w:spacing w:val="-5"/>
          <w:sz w:val="24"/>
          <w:szCs w:val="24"/>
          <w:highlight w:val="none"/>
        </w:rPr>
        <w:t>1</w:t>
      </w:r>
      <w:r>
        <w:rPr>
          <w:rFonts w:hint="eastAsia"/>
          <w:color w:val="auto"/>
          <w:spacing w:val="-5"/>
          <w:sz w:val="24"/>
          <w:szCs w:val="24"/>
          <w:highlight w:val="none"/>
          <w:lang w:val="en-US" w:eastAsia="zh-CN"/>
        </w:rPr>
        <w:t>17</w:t>
      </w:r>
      <w:r>
        <w:rPr>
          <w:color w:val="auto"/>
          <w:spacing w:val="-46"/>
          <w:sz w:val="24"/>
          <w:szCs w:val="24"/>
          <w:highlight w:val="none"/>
        </w:rPr>
        <w:t xml:space="preserve"> </w:t>
      </w:r>
      <w:r>
        <w:rPr>
          <w:color w:val="auto"/>
          <w:spacing w:val="-5"/>
          <w:sz w:val="24"/>
          <w:szCs w:val="24"/>
          <w:highlight w:val="none"/>
        </w:rPr>
        <w:t>万元/年（</w:t>
      </w:r>
      <w:r>
        <w:rPr>
          <w:color w:val="auto"/>
          <w:spacing w:val="-86"/>
          <w:sz w:val="24"/>
          <w:szCs w:val="24"/>
          <w:highlight w:val="none"/>
        </w:rPr>
        <w:t xml:space="preserve"> </w:t>
      </w:r>
      <w:r>
        <w:rPr>
          <w:color w:val="auto"/>
          <w:spacing w:val="-5"/>
          <w:sz w:val="24"/>
          <w:szCs w:val="24"/>
          <w:highlight w:val="none"/>
        </w:rPr>
        <w:t>大写：壹佰贰拾万元整</w:t>
      </w:r>
      <w:r>
        <w:rPr>
          <w:color w:val="auto"/>
          <w:spacing w:val="49"/>
          <w:sz w:val="24"/>
          <w:szCs w:val="24"/>
          <w:highlight w:val="none"/>
        </w:rPr>
        <w:t xml:space="preserve"> </w:t>
      </w:r>
      <w:r>
        <w:rPr>
          <w:color w:val="auto"/>
          <w:spacing w:val="-5"/>
          <w:sz w:val="24"/>
          <w:szCs w:val="24"/>
          <w:highlight w:val="none"/>
        </w:rPr>
        <w:t>）。</w:t>
      </w:r>
    </w:p>
    <w:p w14:paraId="3F434B3A">
      <w:pPr>
        <w:widowControl/>
        <w:kinsoku/>
        <w:topLinePunct w:val="0"/>
        <w:autoSpaceDE w:val="0"/>
        <w:autoSpaceDN w:val="0"/>
        <w:bidi w:val="0"/>
        <w:adjustRightInd w:val="0"/>
        <w:snapToGrid w:val="0"/>
        <w:spacing w:before="205" w:line="227" w:lineRule="auto"/>
        <w:ind w:left="810"/>
        <w:outlineLvl w:val="0"/>
        <w:rPr>
          <w:rFonts w:ascii="黑体" w:hAnsi="黑体" w:eastAsia="黑体" w:cs="黑体"/>
          <w:color w:val="auto"/>
          <w:sz w:val="24"/>
          <w:szCs w:val="24"/>
          <w:highlight w:val="none"/>
        </w:rPr>
      </w:pPr>
      <w:r>
        <w:rPr>
          <w:rFonts w:ascii="黑体" w:hAnsi="黑体" w:eastAsia="黑体" w:cs="黑体"/>
          <w:color w:val="auto"/>
          <w:spacing w:val="7"/>
          <w:sz w:val="24"/>
          <w:szCs w:val="24"/>
          <w:highlight w:val="none"/>
        </w:rPr>
        <w:t>五、供应商考核标准</w:t>
      </w:r>
    </w:p>
    <w:p w14:paraId="62B856AF">
      <w:pPr>
        <w:widowControl/>
        <w:kinsoku/>
        <w:topLinePunct w:val="0"/>
        <w:autoSpaceDE w:val="0"/>
        <w:autoSpaceDN w:val="0"/>
        <w:bidi w:val="0"/>
        <w:adjustRightInd w:val="0"/>
        <w:snapToGrid w:val="0"/>
        <w:spacing w:before="201" w:line="222" w:lineRule="auto"/>
        <w:ind w:left="821"/>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1.</w:t>
      </w:r>
      <w:r>
        <w:rPr>
          <w:rFonts w:ascii="楷体" w:hAnsi="楷体" w:eastAsia="楷体" w:cs="楷体"/>
          <w:color w:val="auto"/>
          <w:spacing w:val="-39"/>
          <w:sz w:val="24"/>
          <w:szCs w:val="24"/>
          <w:highlight w:val="none"/>
        </w:rPr>
        <w:t xml:space="preserve"> </w:t>
      </w:r>
      <w:r>
        <w:rPr>
          <w:rFonts w:ascii="楷体" w:hAnsi="楷体" w:eastAsia="楷体" w:cs="楷体"/>
          <w:color w:val="auto"/>
          <w:spacing w:val="-2"/>
          <w:sz w:val="24"/>
          <w:szCs w:val="24"/>
          <w:highlight w:val="none"/>
        </w:rPr>
        <w:t>资质要求</w:t>
      </w:r>
    </w:p>
    <w:p w14:paraId="19650EAF">
      <w:pPr>
        <w:pStyle w:val="9"/>
        <w:widowControl/>
        <w:kinsoku/>
        <w:topLinePunct w:val="0"/>
        <w:autoSpaceDE w:val="0"/>
        <w:autoSpaceDN w:val="0"/>
        <w:bidi w:val="0"/>
        <w:adjustRightInd w:val="0"/>
        <w:snapToGrid w:val="0"/>
        <w:spacing w:before="205" w:line="346" w:lineRule="auto"/>
        <w:ind w:right="56" w:firstLine="653"/>
        <w:rPr>
          <w:color w:val="auto"/>
          <w:spacing w:val="4"/>
          <w:sz w:val="24"/>
          <w:szCs w:val="24"/>
          <w:highlight w:val="none"/>
        </w:rPr>
      </w:pPr>
      <w:r>
        <w:rPr>
          <w:color w:val="auto"/>
          <w:spacing w:val="4"/>
          <w:sz w:val="24"/>
          <w:szCs w:val="24"/>
          <w:highlight w:val="none"/>
        </w:rPr>
        <w:t xml:space="preserve">拥有专业的餐饮服务团队，厨师需具备相应等级的厨师资格证书，服务人员需持有健康证。 </w:t>
      </w:r>
    </w:p>
    <w:p w14:paraId="0FF55EEA">
      <w:pPr>
        <w:widowControl/>
        <w:kinsoku/>
        <w:topLinePunct w:val="0"/>
        <w:autoSpaceDE w:val="0"/>
        <w:autoSpaceDN w:val="0"/>
        <w:bidi w:val="0"/>
        <w:adjustRightInd w:val="0"/>
        <w:snapToGrid w:val="0"/>
        <w:spacing w:before="1" w:line="221" w:lineRule="auto"/>
        <w:ind w:left="655"/>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2.</w:t>
      </w:r>
      <w:r>
        <w:rPr>
          <w:rFonts w:ascii="楷体" w:hAnsi="楷体" w:eastAsia="楷体" w:cs="楷体"/>
          <w:color w:val="auto"/>
          <w:spacing w:val="-62"/>
          <w:sz w:val="24"/>
          <w:szCs w:val="24"/>
          <w:highlight w:val="none"/>
        </w:rPr>
        <w:t xml:space="preserve"> </w:t>
      </w:r>
      <w:r>
        <w:rPr>
          <w:rFonts w:ascii="楷体" w:hAnsi="楷体" w:eastAsia="楷体" w:cs="楷体"/>
          <w:color w:val="auto"/>
          <w:spacing w:val="3"/>
          <w:sz w:val="24"/>
          <w:szCs w:val="24"/>
          <w:highlight w:val="none"/>
        </w:rPr>
        <w:t>服务能力</w:t>
      </w:r>
    </w:p>
    <w:p w14:paraId="47B4EA0A">
      <w:pPr>
        <w:pStyle w:val="9"/>
        <w:widowControl/>
        <w:kinsoku/>
        <w:topLinePunct w:val="0"/>
        <w:autoSpaceDE w:val="0"/>
        <w:autoSpaceDN w:val="0"/>
        <w:bidi w:val="0"/>
        <w:adjustRightInd w:val="0"/>
        <w:snapToGrid w:val="0"/>
        <w:spacing w:before="205" w:line="346" w:lineRule="auto"/>
        <w:ind w:right="56" w:firstLine="653"/>
        <w:rPr>
          <w:color w:val="auto"/>
          <w:sz w:val="24"/>
          <w:szCs w:val="24"/>
          <w:highlight w:val="none"/>
        </w:rPr>
      </w:pPr>
      <w:r>
        <w:rPr>
          <w:color w:val="auto"/>
          <w:spacing w:val="4"/>
          <w:sz w:val="24"/>
          <w:szCs w:val="24"/>
          <w:highlight w:val="none"/>
        </w:rPr>
        <w:t>具备满足机关食堂用餐需求的食材采购、加工制作、配送能</w:t>
      </w:r>
      <w:r>
        <w:rPr>
          <w:color w:val="auto"/>
          <w:spacing w:val="5"/>
          <w:sz w:val="24"/>
          <w:szCs w:val="24"/>
          <w:highlight w:val="none"/>
        </w:rPr>
        <w:t>力，有稳定的食材供应渠道和可靠的物流配送体系。能够根据季</w:t>
      </w:r>
      <w:r>
        <w:rPr>
          <w:color w:val="auto"/>
          <w:spacing w:val="7"/>
          <w:sz w:val="24"/>
          <w:szCs w:val="24"/>
          <w:highlight w:val="none"/>
        </w:rPr>
        <w:t>节变化、特殊节日等情况，采购本地新鲜食材，合理</w:t>
      </w:r>
      <w:r>
        <w:rPr>
          <w:color w:val="auto"/>
          <w:spacing w:val="6"/>
          <w:sz w:val="24"/>
          <w:szCs w:val="24"/>
          <w:highlight w:val="none"/>
        </w:rPr>
        <w:t>调整菜品，</w:t>
      </w:r>
      <w:r>
        <w:rPr>
          <w:color w:val="auto"/>
          <w:spacing w:val="8"/>
          <w:sz w:val="24"/>
          <w:szCs w:val="24"/>
          <w:highlight w:val="none"/>
        </w:rPr>
        <w:t>提供特色营养餐饮服务。</w:t>
      </w:r>
    </w:p>
    <w:p w14:paraId="34220617">
      <w:pPr>
        <w:widowControl/>
        <w:kinsoku/>
        <w:topLinePunct w:val="0"/>
        <w:autoSpaceDE w:val="0"/>
        <w:autoSpaceDN w:val="0"/>
        <w:bidi w:val="0"/>
        <w:adjustRightInd w:val="0"/>
        <w:snapToGrid w:val="0"/>
        <w:spacing w:before="2" w:line="223" w:lineRule="auto"/>
        <w:ind w:left="668"/>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3.</w:t>
      </w:r>
      <w:r>
        <w:rPr>
          <w:rFonts w:ascii="楷体" w:hAnsi="楷体" w:eastAsia="楷体" w:cs="楷体"/>
          <w:color w:val="auto"/>
          <w:spacing w:val="-54"/>
          <w:sz w:val="24"/>
          <w:szCs w:val="24"/>
          <w:highlight w:val="none"/>
        </w:rPr>
        <w:t xml:space="preserve"> </w:t>
      </w:r>
      <w:r>
        <w:rPr>
          <w:rFonts w:ascii="楷体" w:hAnsi="楷体" w:eastAsia="楷体" w:cs="楷体"/>
          <w:color w:val="auto"/>
          <w:spacing w:val="4"/>
          <w:sz w:val="24"/>
          <w:szCs w:val="24"/>
          <w:highlight w:val="none"/>
        </w:rPr>
        <w:t>考核指标（百分制）</w:t>
      </w:r>
    </w:p>
    <w:p w14:paraId="6982C6D3">
      <w:pPr>
        <w:pStyle w:val="9"/>
        <w:widowControl/>
        <w:kinsoku/>
        <w:topLinePunct w:val="0"/>
        <w:autoSpaceDE w:val="0"/>
        <w:autoSpaceDN w:val="0"/>
        <w:bidi w:val="0"/>
        <w:adjustRightInd w:val="0"/>
        <w:snapToGrid w:val="0"/>
        <w:spacing w:before="204" w:line="345" w:lineRule="auto"/>
        <w:ind w:left="2" w:firstLine="645"/>
        <w:rPr>
          <w:color w:val="auto"/>
          <w:sz w:val="24"/>
          <w:szCs w:val="24"/>
          <w:highlight w:val="none"/>
        </w:rPr>
      </w:pPr>
      <w:r>
        <w:rPr>
          <w:color w:val="auto"/>
          <w:spacing w:val="-4"/>
          <w:sz w:val="24"/>
          <w:szCs w:val="24"/>
          <w:highlight w:val="none"/>
        </w:rPr>
        <w:t>食品安全：建立完善的食品安全管理制度，食材采购、储存、</w:t>
      </w:r>
      <w:r>
        <w:rPr>
          <w:color w:val="auto"/>
          <w:spacing w:val="5"/>
          <w:sz w:val="24"/>
          <w:szCs w:val="24"/>
          <w:highlight w:val="none"/>
        </w:rPr>
        <w:t>加工、留样等环节符合相关规定，无食品安全事故发生，出现食</w:t>
      </w:r>
      <w:r>
        <w:rPr>
          <w:color w:val="auto"/>
          <w:spacing w:val="7"/>
          <w:sz w:val="24"/>
          <w:szCs w:val="24"/>
          <w:highlight w:val="none"/>
        </w:rPr>
        <w:t>品安全问题一次扣</w:t>
      </w:r>
      <w:r>
        <w:rPr>
          <w:color w:val="auto"/>
          <w:spacing w:val="-48"/>
          <w:sz w:val="24"/>
          <w:szCs w:val="24"/>
          <w:highlight w:val="none"/>
        </w:rPr>
        <w:t xml:space="preserve"> </w:t>
      </w:r>
      <w:r>
        <w:rPr>
          <w:color w:val="auto"/>
          <w:spacing w:val="7"/>
          <w:sz w:val="24"/>
          <w:szCs w:val="24"/>
          <w:highlight w:val="none"/>
        </w:rPr>
        <w:t>20</w:t>
      </w:r>
      <w:r>
        <w:rPr>
          <w:color w:val="auto"/>
          <w:spacing w:val="-59"/>
          <w:sz w:val="24"/>
          <w:szCs w:val="24"/>
          <w:highlight w:val="none"/>
        </w:rPr>
        <w:t xml:space="preserve"> </w:t>
      </w:r>
      <w:r>
        <w:rPr>
          <w:color w:val="auto"/>
          <w:spacing w:val="7"/>
          <w:sz w:val="24"/>
          <w:szCs w:val="24"/>
          <w:highlight w:val="none"/>
        </w:rPr>
        <w:t>分，情节严重者直接</w:t>
      </w:r>
      <w:r>
        <w:rPr>
          <w:color w:val="auto"/>
          <w:spacing w:val="6"/>
          <w:sz w:val="24"/>
          <w:szCs w:val="24"/>
          <w:highlight w:val="none"/>
        </w:rPr>
        <w:t>终止合同。</w:t>
      </w:r>
    </w:p>
    <w:p w14:paraId="6CC0DB74">
      <w:pPr>
        <w:pStyle w:val="9"/>
        <w:widowControl/>
        <w:kinsoku/>
        <w:topLinePunct w:val="0"/>
        <w:autoSpaceDE w:val="0"/>
        <w:autoSpaceDN w:val="0"/>
        <w:bidi w:val="0"/>
        <w:adjustRightInd w:val="0"/>
        <w:snapToGrid w:val="0"/>
        <w:spacing w:before="2" w:line="345" w:lineRule="auto"/>
        <w:ind w:left="5" w:right="97" w:firstLine="634"/>
        <w:rPr>
          <w:color w:val="auto"/>
          <w:sz w:val="24"/>
          <w:szCs w:val="24"/>
          <w:highlight w:val="none"/>
        </w:rPr>
      </w:pPr>
      <w:r>
        <w:rPr>
          <w:color w:val="auto"/>
          <w:spacing w:val="2"/>
          <w:sz w:val="24"/>
          <w:szCs w:val="24"/>
          <w:highlight w:val="none"/>
        </w:rPr>
        <w:t>菜品质量：通过定期问卷调查、现场评价等方式，对菜品口</w:t>
      </w:r>
      <w:r>
        <w:rPr>
          <w:color w:val="auto"/>
          <w:spacing w:val="6"/>
          <w:sz w:val="24"/>
          <w:szCs w:val="24"/>
          <w:highlight w:val="none"/>
        </w:rPr>
        <w:t>味、营养搭配、分量等进行评分，满意度低于</w:t>
      </w:r>
      <w:r>
        <w:rPr>
          <w:color w:val="auto"/>
          <w:spacing w:val="-36"/>
          <w:sz w:val="24"/>
          <w:szCs w:val="24"/>
          <w:highlight w:val="none"/>
        </w:rPr>
        <w:t xml:space="preserve"> </w:t>
      </w:r>
      <w:r>
        <w:rPr>
          <w:color w:val="auto"/>
          <w:spacing w:val="6"/>
          <w:sz w:val="24"/>
          <w:szCs w:val="24"/>
          <w:highlight w:val="none"/>
        </w:rPr>
        <w:t>60%，每次扣10</w:t>
      </w:r>
      <w:r>
        <w:rPr>
          <w:color w:val="auto"/>
          <w:spacing w:val="-3"/>
          <w:sz w:val="24"/>
          <w:szCs w:val="24"/>
          <w:highlight w:val="none"/>
        </w:rPr>
        <w:t>分。</w:t>
      </w:r>
    </w:p>
    <w:p w14:paraId="7131F35F">
      <w:pPr>
        <w:pStyle w:val="9"/>
        <w:widowControl/>
        <w:kinsoku/>
        <w:topLinePunct w:val="0"/>
        <w:autoSpaceDE w:val="0"/>
        <w:autoSpaceDN w:val="0"/>
        <w:bidi w:val="0"/>
        <w:adjustRightInd w:val="0"/>
        <w:snapToGrid w:val="0"/>
        <w:spacing w:before="3" w:line="345" w:lineRule="auto"/>
        <w:ind w:left="22" w:right="95" w:firstLine="624"/>
        <w:rPr>
          <w:color w:val="auto"/>
          <w:sz w:val="24"/>
          <w:szCs w:val="24"/>
          <w:highlight w:val="none"/>
        </w:rPr>
      </w:pPr>
      <w:r>
        <w:rPr>
          <w:color w:val="auto"/>
          <w:spacing w:val="5"/>
          <w:sz w:val="24"/>
          <w:szCs w:val="24"/>
          <w:highlight w:val="none"/>
        </w:rPr>
        <w:t>服务态度：工作人员服务热情、周到，无投诉现</w:t>
      </w:r>
      <w:r>
        <w:rPr>
          <w:color w:val="auto"/>
          <w:spacing w:val="4"/>
          <w:sz w:val="24"/>
          <w:szCs w:val="24"/>
          <w:highlight w:val="none"/>
        </w:rPr>
        <w:t>象，每收到</w:t>
      </w:r>
      <w:r>
        <w:rPr>
          <w:color w:val="auto"/>
          <w:sz w:val="24"/>
          <w:szCs w:val="24"/>
          <w:highlight w:val="none"/>
        </w:rPr>
        <w:t>一次有效投诉扣</w:t>
      </w:r>
      <w:r>
        <w:rPr>
          <w:color w:val="auto"/>
          <w:spacing w:val="-40"/>
          <w:sz w:val="24"/>
          <w:szCs w:val="24"/>
          <w:highlight w:val="none"/>
        </w:rPr>
        <w:t xml:space="preserve"> </w:t>
      </w:r>
      <w:r>
        <w:rPr>
          <w:color w:val="auto"/>
          <w:sz w:val="24"/>
          <w:szCs w:val="24"/>
          <w:highlight w:val="none"/>
        </w:rPr>
        <w:t>5</w:t>
      </w:r>
      <w:r>
        <w:rPr>
          <w:color w:val="auto"/>
          <w:spacing w:val="-59"/>
          <w:sz w:val="24"/>
          <w:szCs w:val="24"/>
          <w:highlight w:val="none"/>
        </w:rPr>
        <w:t xml:space="preserve"> </w:t>
      </w:r>
      <w:r>
        <w:rPr>
          <w:color w:val="auto"/>
          <w:sz w:val="24"/>
          <w:szCs w:val="24"/>
          <w:highlight w:val="none"/>
        </w:rPr>
        <w:t>分。</w:t>
      </w:r>
    </w:p>
    <w:p w14:paraId="7C638757">
      <w:pPr>
        <w:pStyle w:val="9"/>
        <w:widowControl/>
        <w:kinsoku/>
        <w:topLinePunct w:val="0"/>
        <w:autoSpaceDE w:val="0"/>
        <w:autoSpaceDN w:val="0"/>
        <w:bidi w:val="0"/>
        <w:adjustRightInd w:val="0"/>
        <w:snapToGrid w:val="0"/>
        <w:spacing w:before="1" w:line="220" w:lineRule="auto"/>
        <w:ind w:firstLine="500" w:firstLineChars="200"/>
        <w:rPr>
          <w:color w:val="auto"/>
          <w:sz w:val="24"/>
          <w:szCs w:val="24"/>
          <w:highlight w:val="none"/>
        </w:rPr>
      </w:pPr>
      <w:r>
        <w:rPr>
          <w:color w:val="auto"/>
          <w:spacing w:val="5"/>
          <w:sz w:val="24"/>
          <w:szCs w:val="24"/>
          <w:highlight w:val="none"/>
        </w:rPr>
        <w:t>环境卫生：食堂操作间、餐厅等区域保持整洁卫生，</w:t>
      </w:r>
      <w:r>
        <w:rPr>
          <w:color w:val="auto"/>
          <w:spacing w:val="4"/>
          <w:sz w:val="24"/>
          <w:szCs w:val="24"/>
          <w:highlight w:val="none"/>
        </w:rPr>
        <w:t>符合卫</w:t>
      </w:r>
      <w:r>
        <w:rPr>
          <w:color w:val="auto"/>
          <w:spacing w:val="3"/>
          <w:sz w:val="24"/>
          <w:szCs w:val="24"/>
          <w:highlight w:val="none"/>
        </w:rPr>
        <w:t>生标准，检查不合格一次扣</w:t>
      </w:r>
      <w:r>
        <w:rPr>
          <w:color w:val="auto"/>
          <w:spacing w:val="-34"/>
          <w:sz w:val="24"/>
          <w:szCs w:val="24"/>
          <w:highlight w:val="none"/>
        </w:rPr>
        <w:t xml:space="preserve"> </w:t>
      </w:r>
      <w:r>
        <w:rPr>
          <w:color w:val="auto"/>
          <w:spacing w:val="3"/>
          <w:sz w:val="24"/>
          <w:szCs w:val="24"/>
          <w:highlight w:val="none"/>
        </w:rPr>
        <w:t>10</w:t>
      </w:r>
      <w:r>
        <w:rPr>
          <w:color w:val="auto"/>
          <w:spacing w:val="-59"/>
          <w:sz w:val="24"/>
          <w:szCs w:val="24"/>
          <w:highlight w:val="none"/>
        </w:rPr>
        <w:t xml:space="preserve"> </w:t>
      </w:r>
      <w:r>
        <w:rPr>
          <w:color w:val="auto"/>
          <w:spacing w:val="3"/>
          <w:sz w:val="24"/>
          <w:szCs w:val="24"/>
          <w:highlight w:val="none"/>
        </w:rPr>
        <w:t>分。</w:t>
      </w:r>
    </w:p>
    <w:p w14:paraId="3BC1570D">
      <w:pPr>
        <w:pStyle w:val="9"/>
        <w:widowControl/>
        <w:kinsoku/>
        <w:topLinePunct w:val="0"/>
        <w:autoSpaceDE w:val="0"/>
        <w:autoSpaceDN w:val="0"/>
        <w:bidi w:val="0"/>
        <w:adjustRightInd w:val="0"/>
        <w:snapToGrid w:val="0"/>
        <w:spacing w:before="211" w:line="345" w:lineRule="auto"/>
        <w:ind w:left="42" w:right="252" w:firstLine="603"/>
        <w:rPr>
          <w:color w:val="auto"/>
          <w:sz w:val="24"/>
          <w:szCs w:val="24"/>
          <w:highlight w:val="none"/>
        </w:rPr>
      </w:pPr>
      <w:r>
        <w:rPr>
          <w:color w:val="auto"/>
          <w:spacing w:val="5"/>
          <w:sz w:val="24"/>
          <w:szCs w:val="24"/>
          <w:highlight w:val="none"/>
        </w:rPr>
        <w:t>按时供餐：确保按时提供早、中、晚餐，出现一</w:t>
      </w:r>
      <w:r>
        <w:rPr>
          <w:color w:val="auto"/>
          <w:spacing w:val="4"/>
          <w:sz w:val="24"/>
          <w:szCs w:val="24"/>
          <w:highlight w:val="none"/>
        </w:rPr>
        <w:t>次非客观原</w:t>
      </w:r>
      <w:r>
        <w:rPr>
          <w:color w:val="auto"/>
          <w:sz w:val="24"/>
          <w:szCs w:val="24"/>
          <w:highlight w:val="none"/>
        </w:rPr>
        <w:t>因造成的延误供餐扣</w:t>
      </w:r>
      <w:r>
        <w:rPr>
          <w:color w:val="auto"/>
          <w:spacing w:val="-40"/>
          <w:sz w:val="24"/>
          <w:szCs w:val="24"/>
          <w:highlight w:val="none"/>
        </w:rPr>
        <w:t xml:space="preserve"> </w:t>
      </w:r>
      <w:r>
        <w:rPr>
          <w:color w:val="auto"/>
          <w:sz w:val="24"/>
          <w:szCs w:val="24"/>
          <w:highlight w:val="none"/>
        </w:rPr>
        <w:t>5</w:t>
      </w:r>
      <w:r>
        <w:rPr>
          <w:color w:val="auto"/>
          <w:spacing w:val="-59"/>
          <w:sz w:val="24"/>
          <w:szCs w:val="24"/>
          <w:highlight w:val="none"/>
        </w:rPr>
        <w:t xml:space="preserve"> </w:t>
      </w:r>
      <w:r>
        <w:rPr>
          <w:color w:val="auto"/>
          <w:sz w:val="24"/>
          <w:szCs w:val="24"/>
          <w:highlight w:val="none"/>
        </w:rPr>
        <w:t>分。</w:t>
      </w:r>
    </w:p>
    <w:p w14:paraId="0B44367B">
      <w:pPr>
        <w:widowControl/>
        <w:kinsoku/>
        <w:topLinePunct w:val="0"/>
        <w:autoSpaceDE w:val="0"/>
        <w:autoSpaceDN w:val="0"/>
        <w:bidi w:val="0"/>
        <w:adjustRightInd w:val="0"/>
        <w:snapToGrid w:val="0"/>
        <w:spacing w:line="221" w:lineRule="auto"/>
        <w:ind w:left="655"/>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4.</w:t>
      </w:r>
      <w:r>
        <w:rPr>
          <w:rFonts w:ascii="楷体" w:hAnsi="楷体" w:eastAsia="楷体" w:cs="楷体"/>
          <w:color w:val="auto"/>
          <w:spacing w:val="-47"/>
          <w:sz w:val="24"/>
          <w:szCs w:val="24"/>
          <w:highlight w:val="none"/>
        </w:rPr>
        <w:t xml:space="preserve"> </w:t>
      </w:r>
      <w:r>
        <w:rPr>
          <w:rFonts w:ascii="楷体" w:hAnsi="楷体" w:eastAsia="楷体" w:cs="楷体"/>
          <w:color w:val="auto"/>
          <w:spacing w:val="5"/>
          <w:sz w:val="24"/>
          <w:szCs w:val="24"/>
          <w:highlight w:val="none"/>
        </w:rPr>
        <w:t>考核周期与结果应用</w:t>
      </w:r>
    </w:p>
    <w:p w14:paraId="5DA648DF">
      <w:pPr>
        <w:pStyle w:val="9"/>
        <w:widowControl/>
        <w:kinsoku/>
        <w:topLinePunct w:val="0"/>
        <w:autoSpaceDE w:val="0"/>
        <w:autoSpaceDN w:val="0"/>
        <w:bidi w:val="0"/>
        <w:adjustRightInd w:val="0"/>
        <w:snapToGrid w:val="0"/>
        <w:spacing w:before="208" w:line="345" w:lineRule="auto"/>
        <w:ind w:left="1" w:firstLine="643"/>
        <w:rPr>
          <w:color w:val="auto"/>
          <w:sz w:val="24"/>
          <w:szCs w:val="24"/>
          <w:highlight w:val="none"/>
        </w:rPr>
      </w:pPr>
      <w:r>
        <w:rPr>
          <w:color w:val="auto"/>
          <w:spacing w:val="5"/>
          <w:sz w:val="24"/>
          <w:szCs w:val="24"/>
          <w:highlight w:val="none"/>
        </w:rPr>
        <w:t>每月进行一次常规考核，每季度进行一次综合考核。考核结</w:t>
      </w:r>
      <w:r>
        <w:rPr>
          <w:color w:val="auto"/>
          <w:spacing w:val="3"/>
          <w:sz w:val="24"/>
          <w:szCs w:val="24"/>
          <w:highlight w:val="none"/>
        </w:rPr>
        <w:t>果与供应商服务费支付挂钩，根据考核得分情况按比例支付费用。</w:t>
      </w:r>
      <w:r>
        <w:rPr>
          <w:color w:val="auto"/>
          <w:spacing w:val="7"/>
          <w:sz w:val="24"/>
          <w:szCs w:val="24"/>
          <w:highlight w:val="none"/>
        </w:rPr>
        <w:t>合同期满后，经考核得分在</w:t>
      </w:r>
      <w:r>
        <w:rPr>
          <w:color w:val="auto"/>
          <w:spacing w:val="-39"/>
          <w:sz w:val="24"/>
          <w:szCs w:val="24"/>
          <w:highlight w:val="none"/>
        </w:rPr>
        <w:t xml:space="preserve"> </w:t>
      </w:r>
      <w:r>
        <w:rPr>
          <w:color w:val="auto"/>
          <w:spacing w:val="7"/>
          <w:sz w:val="24"/>
          <w:szCs w:val="24"/>
          <w:highlight w:val="none"/>
        </w:rPr>
        <w:t>80</w:t>
      </w:r>
      <w:r>
        <w:rPr>
          <w:color w:val="auto"/>
          <w:spacing w:val="-59"/>
          <w:sz w:val="24"/>
          <w:szCs w:val="24"/>
          <w:highlight w:val="none"/>
        </w:rPr>
        <w:t xml:space="preserve"> </w:t>
      </w:r>
      <w:r>
        <w:rPr>
          <w:color w:val="auto"/>
          <w:spacing w:val="7"/>
          <w:sz w:val="24"/>
          <w:szCs w:val="24"/>
          <w:highlight w:val="none"/>
        </w:rPr>
        <w:t>分及以上为合格，可续签合同；</w:t>
      </w:r>
      <w:r>
        <w:rPr>
          <w:color w:val="auto"/>
          <w:spacing w:val="4"/>
          <w:sz w:val="24"/>
          <w:szCs w:val="24"/>
          <w:highlight w:val="none"/>
        </w:rPr>
        <w:t>70至80分为基本合格，需对相应问题予以整改并验收合格后续</w:t>
      </w:r>
      <w:r>
        <w:rPr>
          <w:color w:val="auto"/>
          <w:spacing w:val="8"/>
          <w:sz w:val="24"/>
          <w:szCs w:val="24"/>
          <w:highlight w:val="none"/>
        </w:rPr>
        <w:t>签合同；70分以下根据存在问题情况进行罚款，对相应问题进行整改，并经三个月试用期验收合格后续签合同；60</w:t>
      </w:r>
      <w:r>
        <w:rPr>
          <w:color w:val="auto"/>
          <w:spacing w:val="-44"/>
          <w:sz w:val="24"/>
          <w:szCs w:val="24"/>
          <w:highlight w:val="none"/>
        </w:rPr>
        <w:t xml:space="preserve"> </w:t>
      </w:r>
      <w:r>
        <w:rPr>
          <w:color w:val="auto"/>
          <w:spacing w:val="8"/>
          <w:sz w:val="24"/>
          <w:szCs w:val="24"/>
          <w:highlight w:val="none"/>
        </w:rPr>
        <w:t>分以下视</w:t>
      </w:r>
      <w:r>
        <w:rPr>
          <w:color w:val="auto"/>
          <w:spacing w:val="4"/>
          <w:sz w:val="24"/>
          <w:szCs w:val="24"/>
          <w:highlight w:val="none"/>
        </w:rPr>
        <w:t>为乙方违约，甲方有权单方面解除协议。</w:t>
      </w:r>
    </w:p>
    <w:p w14:paraId="696F67BF">
      <w:pPr>
        <w:widowControl/>
        <w:kinsoku/>
        <w:topLinePunct w:val="0"/>
        <w:autoSpaceDE w:val="0"/>
        <w:autoSpaceDN w:val="0"/>
        <w:bidi w:val="0"/>
        <w:adjustRightInd w:val="0"/>
        <w:snapToGrid w:val="0"/>
        <w:spacing w:line="226" w:lineRule="auto"/>
        <w:ind w:left="654"/>
        <w:outlineLvl w:val="0"/>
        <w:rPr>
          <w:rFonts w:ascii="黑体" w:hAnsi="黑体" w:eastAsia="黑体" w:cs="黑体"/>
          <w:color w:val="auto"/>
          <w:sz w:val="24"/>
          <w:szCs w:val="24"/>
          <w:highlight w:val="none"/>
        </w:rPr>
      </w:pPr>
      <w:r>
        <w:rPr>
          <w:rFonts w:ascii="黑体" w:hAnsi="黑体" w:eastAsia="黑体" w:cs="黑体"/>
          <w:color w:val="auto"/>
          <w:spacing w:val="6"/>
          <w:sz w:val="24"/>
          <w:szCs w:val="24"/>
          <w:highlight w:val="none"/>
        </w:rPr>
        <w:t>六、资金来源</w:t>
      </w:r>
    </w:p>
    <w:p w14:paraId="74A26DC7">
      <w:pPr>
        <w:pStyle w:val="9"/>
        <w:widowControl/>
        <w:kinsoku/>
        <w:topLinePunct w:val="0"/>
        <w:autoSpaceDE w:val="0"/>
        <w:autoSpaceDN w:val="0"/>
        <w:bidi w:val="0"/>
        <w:adjustRightInd w:val="0"/>
        <w:snapToGrid w:val="0"/>
        <w:spacing w:before="201" w:line="345" w:lineRule="auto"/>
        <w:ind w:right="154" w:firstLine="803"/>
        <w:jc w:val="both"/>
        <w:rPr>
          <w:color w:val="auto"/>
          <w:sz w:val="24"/>
          <w:szCs w:val="24"/>
          <w:highlight w:val="none"/>
        </w:rPr>
      </w:pPr>
      <w:r>
        <w:rPr>
          <w:color w:val="auto"/>
          <w:spacing w:val="9"/>
          <w:sz w:val="24"/>
          <w:szCs w:val="24"/>
          <w:highlight w:val="none"/>
        </w:rPr>
        <w:t>本项</w:t>
      </w:r>
      <w:r>
        <w:rPr>
          <w:rFonts w:hint="eastAsia" w:ascii="仿宋" w:hAnsi="仿宋" w:eastAsia="仿宋" w:cs="仿宋"/>
          <w:snapToGrid w:val="0"/>
          <w:color w:val="auto"/>
          <w:spacing w:val="3"/>
          <w:sz w:val="24"/>
          <w:szCs w:val="24"/>
          <w:highlight w:val="none"/>
          <w:lang w:val="en-US" w:eastAsia="zh-CN" w:bidi="ar-SA"/>
        </w:rPr>
        <w:t>目资金来源于镇财政预算安排，纳入镇机关年度经费预算。由镇财政部门按照采购合同约定和供应商考核结果，及时、足额支付餐饮服务费用</w:t>
      </w:r>
      <w:r>
        <w:rPr>
          <w:color w:val="auto"/>
          <w:spacing w:val="8"/>
          <w:sz w:val="24"/>
          <w:szCs w:val="24"/>
          <w:highlight w:val="none"/>
        </w:rPr>
        <w:t>。</w:t>
      </w:r>
    </w:p>
    <w:p w14:paraId="72DD3E2C">
      <w:pPr>
        <w:widowControl/>
        <w:kinsoku/>
        <w:topLinePunct w:val="0"/>
        <w:autoSpaceDE w:val="0"/>
        <w:autoSpaceDN w:val="0"/>
        <w:bidi w:val="0"/>
        <w:adjustRightInd w:val="0"/>
        <w:snapToGrid w:val="0"/>
        <w:spacing w:line="226" w:lineRule="auto"/>
        <w:ind w:left="643"/>
        <w:outlineLvl w:val="0"/>
        <w:rPr>
          <w:rFonts w:hint="default" w:ascii="黑体" w:hAnsi="黑体" w:eastAsia="黑体" w:cs="黑体"/>
          <w:color w:val="auto"/>
          <w:spacing w:val="8"/>
          <w:sz w:val="24"/>
          <w:szCs w:val="24"/>
          <w:highlight w:val="none"/>
          <w:lang w:val="en-US" w:eastAsia="zh-CN"/>
        </w:rPr>
      </w:pPr>
      <w:r>
        <w:rPr>
          <w:rFonts w:hint="eastAsia" w:ascii="黑体" w:hAnsi="黑体" w:eastAsia="黑体" w:cs="黑体"/>
          <w:color w:val="auto"/>
          <w:spacing w:val="8"/>
          <w:sz w:val="24"/>
          <w:szCs w:val="24"/>
          <w:highlight w:val="none"/>
          <w:lang w:val="en-US" w:eastAsia="zh-CN"/>
        </w:rPr>
        <w:t>七、其他</w:t>
      </w:r>
      <w:r>
        <w:rPr>
          <w:rFonts w:hint="eastAsia" w:ascii="黑体" w:hAnsi="黑体" w:eastAsia="黑体" w:cs="黑体"/>
          <w:color w:val="auto"/>
          <w:spacing w:val="8"/>
          <w:sz w:val="24"/>
          <w:szCs w:val="24"/>
          <w:highlight w:val="none"/>
          <w:lang w:val="en-US" w:eastAsia="zh-CN"/>
        </w:rPr>
        <w:t>（增加的技术内容）</w:t>
      </w:r>
    </w:p>
    <w:p w14:paraId="4FB0EA01">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1、结合单位实际情况和当地食材供给等情况，合理搭配动物性和植物性食物，尽量做到食物多样化，制定满足职工营养需求的套餐系列及食谱目录，确保每天人类所需能量达到摄入标准，中标单位须保证新鲜蔬菜和肉类充足供应，保证每周中餐菜品不重样，合理加工、烹饪职工餐，减盐、减油、减糖，从源头上保证职工吃得营养、科学、均衡，每周菜谱将提前一周交由单位审核后实施。(具体食谱须由中标人自行拟定、采购人提供一周食谱可做参考)。</w:t>
      </w:r>
    </w:p>
    <w:p w14:paraId="055274D6">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2、中标企业在甲方授权范围内合法经营，自行办理员工健康证、上岗培训证，其费用由中标企业负责。并管好员工的身体健康，禁止带病上岗。</w:t>
      </w:r>
    </w:p>
    <w:p w14:paraId="3FD592EF">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3、中标企业在合同条款及国家相关法规的约束下，自主经营，自负盈亏，坚持保本微利的原则经营。</w:t>
      </w:r>
    </w:p>
    <w:p w14:paraId="7BBFED46">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4、必须确保食品安全、卫生。做到“八定”；定厂（商）家采购肉类定基地采购蔬菜；定厂（商）家采购副食品；定企业采购中高档米、面油；定质检员把质检关；员工定岗定责：定餐抽取样品：定厨师烹饪饭菜。严禁采购出售《食品卫生法》第九条规定的原料和食品以及出售冷荤、素食品：不准采购使用二次性成品油脂。自觉完善防蝇、防鼠、防尘、防蟑螂设施；严禁使用化学添加剂，如因中标企业经营管理造成的安全事故的一切责任由中标企业全部承担负责。</w:t>
      </w:r>
    </w:p>
    <w:p w14:paraId="488A724B">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5、自觉接受甲方各级行政和执法部门的监督检查，发现问题必须立即整改。中标企业所有从业人员及管理人员必须取得合法有效的健康证和教育行政部门颁发的培训上岗证方能上岗，食堂从业人员安全及社保均由中标企业承担。</w:t>
      </w:r>
    </w:p>
    <w:p w14:paraId="2142F2EA">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6、中标企业在委托管理期间不准将食堂转包出租，要保管好设备设施，未经甲方同意，中标企业不得将设备设施做抵押或转让。</w:t>
      </w:r>
    </w:p>
    <w:p w14:paraId="29545B06">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7、甲方单位职工用餐时实行刷卡或刷脸等就餐方式。</w:t>
      </w:r>
      <w:r>
        <w:rPr>
          <w:rFonts w:hint="eastAsia" w:ascii="仿宋" w:hAnsi="仿宋" w:eastAsia="仿宋" w:cs="仿宋"/>
          <w:snapToGrid w:val="0"/>
          <w:color w:val="auto"/>
          <w:spacing w:val="3"/>
          <w:sz w:val="24"/>
          <w:szCs w:val="24"/>
          <w:highlight w:val="none"/>
          <w:lang w:val="en-US" w:eastAsia="zh-CN" w:bidi="ar-SA"/>
        </w:rPr>
        <w:tab/>
      </w:r>
    </w:p>
    <w:p w14:paraId="55A8F40A">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eastAsia"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8、中标企业需把每次用餐食材进行存样保留，以便相关部门抽查监督。</w:t>
      </w:r>
    </w:p>
    <w:p w14:paraId="3E35EC13">
      <w:pPr>
        <w:keepNext w:val="0"/>
        <w:keepLines w:val="0"/>
        <w:pageBreakBefore w:val="0"/>
        <w:widowControl/>
        <w:kinsoku/>
        <w:wordWrap/>
        <w:overflowPunct w:val="0"/>
        <w:topLinePunct w:val="0"/>
        <w:autoSpaceDE w:val="0"/>
        <w:autoSpaceDN w:val="0"/>
        <w:bidi w:val="0"/>
        <w:adjustRightInd w:val="0"/>
        <w:snapToGrid w:val="0"/>
        <w:spacing w:line="360" w:lineRule="auto"/>
        <w:ind w:firstLine="492" w:firstLineChars="200"/>
        <w:textAlignment w:val="baseline"/>
        <w:rPr>
          <w:rFonts w:hint="default" w:ascii="仿宋" w:hAnsi="仿宋" w:eastAsia="仿宋" w:cs="仿宋"/>
          <w:snapToGrid w:val="0"/>
          <w:color w:val="auto"/>
          <w:spacing w:val="3"/>
          <w:sz w:val="24"/>
          <w:szCs w:val="24"/>
          <w:highlight w:val="none"/>
          <w:lang w:val="en-US" w:eastAsia="zh-CN" w:bidi="ar-SA"/>
        </w:rPr>
      </w:pPr>
      <w:r>
        <w:rPr>
          <w:rFonts w:hint="eastAsia" w:ascii="仿宋" w:hAnsi="仿宋" w:eastAsia="仿宋" w:cs="仿宋"/>
          <w:snapToGrid w:val="0"/>
          <w:color w:val="auto"/>
          <w:spacing w:val="3"/>
          <w:sz w:val="24"/>
          <w:szCs w:val="24"/>
          <w:highlight w:val="none"/>
          <w:lang w:val="en-US" w:eastAsia="zh-CN" w:bidi="ar-SA"/>
        </w:rPr>
        <w:t>9、中标企业管理期间要自觉爱惜甲方现有餐厨设施设备，水、电、气费由中标方承担，水、电、气、管道线路等厨房设施设备由中标方负责管护维修，费由中标方承担，若有新增餐厨设备时，中标方自行新增，费用由中标方自行承担，委托管理到期时，要保证甲方现有餐厨设施设备能正常运转的交给甲方，如有损坏餐厨设备的情况，中标企业需照价赔偿。</w:t>
      </w:r>
    </w:p>
    <w:p w14:paraId="0E6DB458">
      <w:pPr>
        <w:widowControl/>
        <w:kinsoku/>
        <w:topLinePunct w:val="0"/>
        <w:autoSpaceDE w:val="0"/>
        <w:autoSpaceDN w:val="0"/>
        <w:bidi w:val="0"/>
        <w:adjustRightInd w:val="0"/>
        <w:snapToGrid w:val="0"/>
        <w:rPr>
          <w:rFonts w:hint="eastAsia" w:ascii="Times New Roman" w:hAnsi="Times New Roman"/>
          <w:bCs/>
          <w:color w:val="auto"/>
          <w:sz w:val="24"/>
          <w:szCs w:val="24"/>
          <w:highlight w:val="none"/>
          <w:lang w:eastAsia="zh-CN"/>
        </w:rPr>
      </w:pPr>
    </w:p>
    <w:p w14:paraId="04AB5E7A">
      <w:pPr>
        <w:widowControl/>
        <w:kinsoku/>
        <w:topLinePunct w:val="0"/>
        <w:autoSpaceDE w:val="0"/>
        <w:autoSpaceDN w:val="0"/>
        <w:bidi w:val="0"/>
        <w:adjustRightInd w:val="0"/>
        <w:snapToGrid w:val="0"/>
        <w:rPr>
          <w:rFonts w:hint="eastAsia"/>
          <w:color w:val="auto"/>
          <w:highlight w:val="none"/>
          <w:lang w:val="en-US" w:eastAsia="zh-CN"/>
        </w:rPr>
      </w:pPr>
    </w:p>
    <w:p w14:paraId="20A52484">
      <w:pPr>
        <w:pStyle w:val="9"/>
        <w:widowControl/>
        <w:kinsoku/>
        <w:topLinePunct w:val="0"/>
        <w:autoSpaceDE w:val="0"/>
        <w:autoSpaceDN w:val="0"/>
        <w:bidi w:val="0"/>
        <w:adjustRightInd w:val="0"/>
        <w:snapToGrid w:val="0"/>
        <w:rPr>
          <w:rFonts w:hint="eastAsia"/>
          <w:color w:val="auto"/>
          <w:highlight w:val="none"/>
          <w:lang w:val="en-US" w:eastAsia="zh-CN"/>
        </w:rPr>
      </w:pPr>
    </w:p>
    <w:p w14:paraId="3DC29589">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8" w:name="_Toc8581"/>
      <w:r>
        <w:rPr>
          <w:rFonts w:hint="eastAsia" w:ascii="仿宋" w:hAnsi="仿宋" w:eastAsia="仿宋" w:cs="仿宋"/>
          <w:color w:val="auto"/>
          <w:highlight w:val="none"/>
          <w:lang w:eastAsia="zh-CN"/>
        </w:rPr>
        <w:t>第二节商务要求</w:t>
      </w:r>
      <w:bookmarkEnd w:id="8"/>
    </w:p>
    <w:p w14:paraId="410CD5E4">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一、服务期及服务地点</w:t>
      </w:r>
    </w:p>
    <w:p w14:paraId="047120FB">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服务期：服务期2年（服务合同1年1签，1年1考核）。</w:t>
      </w:r>
    </w:p>
    <w:p w14:paraId="6E4F5D7D">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委托经营期间，承包方如约履行本合同，未发生过任何违约行为，且在每季度组织的针对饭菜质量及服务水平等全体职工满意度测评，每年根据测评情况在服务期内（贰年内）续签合同，由采购人相关部门进行考核，合格后方能续签第二年合同，不合格则解除合同。</w:t>
      </w:r>
    </w:p>
    <w:p w14:paraId="70575517">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服务地点：采购人指定地点。</w:t>
      </w:r>
    </w:p>
    <w:p w14:paraId="1C5CF320">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二、质量要求</w:t>
      </w:r>
    </w:p>
    <w:p w14:paraId="29FEA97B">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执行有关机构最新颁布的国家标准和规范及采购人的标准，由食品质量引发的相关事件，投标人供应商承担所有责任。</w:t>
      </w:r>
    </w:p>
    <w:p w14:paraId="34637014">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三、付款方式：</w:t>
      </w:r>
    </w:p>
    <w:p w14:paraId="500C741A">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以实际就餐人数，按用餐标准据实结算，按季度支付费用。</w:t>
      </w:r>
    </w:p>
    <w:p w14:paraId="2068A6FF">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四、履约保证金</w:t>
      </w:r>
    </w:p>
    <w:p w14:paraId="5646A12F">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采购项目中标企业为小微企业的，不收取履约保证金。</w:t>
      </w:r>
    </w:p>
    <w:p w14:paraId="5CCBD4D0">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五、投标有效期：</w:t>
      </w:r>
    </w:p>
    <w:p w14:paraId="1DA6094A">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从磋商之日起60日内为磋商有效期，在此期间，供应商不得以任何借口撤销自己的磋商文件。</w:t>
      </w:r>
    </w:p>
    <w:p w14:paraId="35E580A4">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b w:val="0"/>
          <w:bCs w:val="0"/>
          <w:color w:val="auto"/>
          <w:spacing w:val="-2"/>
          <w:sz w:val="22"/>
          <w:szCs w:val="22"/>
          <w:highlight w:val="none"/>
          <w:lang w:val="en-US" w:eastAsia="zh-CN"/>
        </w:rPr>
      </w:pPr>
      <w:r>
        <w:rPr>
          <w:rFonts w:hint="eastAsia" w:cs="仿宋"/>
          <w:b w:val="0"/>
          <w:bCs w:val="0"/>
          <w:color w:val="auto"/>
          <w:spacing w:val="-2"/>
          <w:sz w:val="22"/>
          <w:szCs w:val="22"/>
          <w:highlight w:val="none"/>
          <w:lang w:val="en-US" w:eastAsia="zh-CN"/>
        </w:rPr>
        <w:t>六、其他</w:t>
      </w:r>
    </w:p>
    <w:p w14:paraId="648C596C">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1、违约处罚：供应商必须保证所供应食材或加工的食物的食品安全。在合同执行过程中，如果因供应商的责任发生食品质量安全事故，由供应商承担全部责任。供应商必须保证按时、保质、足量地提供就餐。</w:t>
      </w:r>
    </w:p>
    <w:p w14:paraId="1DD83E5C">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2、验收标准、规范、方式：由采购人根据相关法律法规、行业标准及采购文件要求组织验收。</w:t>
      </w:r>
    </w:p>
    <w:p w14:paraId="602EDF2F">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3、服务的详细内容（工作内容），以甲方和中标人签订的合同为准。</w:t>
      </w:r>
    </w:p>
    <w:p w14:paraId="2C3FBCE4">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4、本项目为服务项目很多细节无法预见，若因政策法规要求调整原因，采购人具有在项目实施过程中调整服务内容和服务要求的权利，成交供应商应无条件配合采购人工作，以最大程度地满足项目需求。调整后的内容将作为合同的附件，与原始合同具有同等效力。</w:t>
      </w:r>
    </w:p>
    <w:p w14:paraId="59E0794D">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5、成交供应商若不能按时完成采购人交付的工作任务或为采购人提供的服务不按时、不规范、质量达不到要求时，视为一方违约，应承担因其工作失误（或其他原因）给采购人造成的一切损失责任。</w:t>
      </w:r>
    </w:p>
    <w:p w14:paraId="039A0409">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3 、成交供应商无正当理由放弃成交项目的，或未按约定期限签订合同的，除了要赔偿采购人和本项目代理机构在本次招标活动中产生的一切费用外，还将报请政府采购监督管理部门按相关法律法规规定对成交供应商追究相应的经济和法律责任。</w:t>
      </w:r>
    </w:p>
    <w:p w14:paraId="0A6FFCE6">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4 、成交供应商在供餐过程中产生的所有安全事故责任由成交供应商自行承担全部经济和法律责任，如发生安全事故采购人有权单方取消其服务资格。</w:t>
      </w:r>
    </w:p>
    <w:p w14:paraId="7E4888DF">
      <w:pPr>
        <w:pStyle w:val="9"/>
        <w:widowControl/>
        <w:numPr>
          <w:ilvl w:val="0"/>
          <w:numId w:val="0"/>
        </w:numPr>
        <w:kinsoku/>
        <w:topLinePunct w:val="0"/>
        <w:autoSpaceDE w:val="0"/>
        <w:autoSpaceDN w:val="0"/>
        <w:bidi w:val="0"/>
        <w:adjustRightInd w:val="0"/>
        <w:snapToGrid w:val="0"/>
        <w:spacing w:before="177" w:line="360" w:lineRule="auto"/>
        <w:ind w:firstLine="432" w:firstLineChars="200"/>
        <w:rPr>
          <w:rFonts w:hint="eastAsia" w:ascii="仿宋" w:hAnsi="仿宋" w:eastAsia="仿宋" w:cs="仿宋"/>
          <w:b w:val="0"/>
          <w:bCs w:val="0"/>
          <w:color w:val="auto"/>
          <w:spacing w:val="-2"/>
          <w:sz w:val="22"/>
          <w:szCs w:val="22"/>
          <w:highlight w:val="none"/>
          <w:lang w:val="en-US" w:eastAsia="zh-CN"/>
        </w:rPr>
        <w:sectPr>
          <w:footerReference r:id="rId6" w:type="default"/>
          <w:pgSz w:w="11905" w:h="16838"/>
          <w:pgMar w:top="850" w:right="1134" w:bottom="850" w:left="1134" w:header="0" w:footer="782" w:gutter="0"/>
          <w:pgNumType w:fmt="decimal"/>
          <w:cols w:space="0" w:num="1"/>
          <w:rtlGutter w:val="0"/>
          <w:docGrid w:linePitch="0" w:charSpace="0"/>
        </w:sectPr>
      </w:pPr>
      <w:r>
        <w:rPr>
          <w:rFonts w:hint="eastAsia" w:cs="仿宋"/>
          <w:color w:val="auto"/>
          <w:spacing w:val="-2"/>
          <w:sz w:val="22"/>
          <w:szCs w:val="22"/>
          <w:highlight w:val="none"/>
          <w:lang w:val="en-US" w:eastAsia="zh-CN"/>
        </w:rPr>
        <w:t>5、其他：本项目未尽事宜，由双方合同中协商解决。</w:t>
      </w:r>
    </w:p>
    <w:p w14:paraId="3BBF836A">
      <w:pPr>
        <w:pStyle w:val="4"/>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9" w:name="_Toc14716"/>
      <w:r>
        <w:rPr>
          <w:rFonts w:hint="eastAsia" w:ascii="仿宋" w:hAnsi="仿宋" w:eastAsia="仿宋" w:cs="仿宋"/>
          <w:color w:val="auto"/>
          <w:highlight w:val="none"/>
          <w:lang w:eastAsia="zh-CN"/>
        </w:rPr>
        <w:t>第四章评审办法</w:t>
      </w:r>
      <w:bookmarkEnd w:id="9"/>
    </w:p>
    <w:p w14:paraId="34BC6A5B">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10" w:name="_Toc3056"/>
      <w:r>
        <w:rPr>
          <w:rFonts w:hint="eastAsia" w:ascii="仿宋" w:hAnsi="仿宋" w:eastAsia="仿宋" w:cs="仿宋"/>
          <w:color w:val="auto"/>
          <w:highlight w:val="none"/>
          <w:lang w:eastAsia="zh-CN"/>
        </w:rPr>
        <w:t>第一节评审办法</w:t>
      </w:r>
      <w:bookmarkEnd w:id="10"/>
    </w:p>
    <w:p w14:paraId="3AE74855">
      <w:pPr>
        <w:pStyle w:val="9"/>
        <w:widowControl/>
        <w:kinsoku/>
        <w:topLinePunct w:val="0"/>
        <w:autoSpaceDE w:val="0"/>
        <w:autoSpaceDN w:val="0"/>
        <w:bidi w:val="0"/>
        <w:adjustRightInd w:val="0"/>
        <w:snapToGrid w:val="0"/>
        <w:spacing w:before="180" w:line="222"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一、评审办法</w:t>
      </w:r>
    </w:p>
    <w:p w14:paraId="565E786A">
      <w:pPr>
        <w:pStyle w:val="9"/>
        <w:widowControl/>
        <w:kinsoku/>
        <w:topLinePunct w:val="0"/>
        <w:autoSpaceDE w:val="0"/>
        <w:autoSpaceDN w:val="0"/>
        <w:bidi w:val="0"/>
        <w:adjustRightInd w:val="0"/>
        <w:snapToGrid w:val="0"/>
        <w:spacing w:before="176" w:line="221"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本项目采用</w:t>
      </w:r>
      <w:r>
        <w:rPr>
          <w:rFonts w:hint="eastAsia" w:ascii="仿宋" w:hAnsi="仿宋" w:eastAsia="仿宋" w:cs="仿宋"/>
          <w:color w:val="auto"/>
          <w:spacing w:val="-2"/>
          <w:sz w:val="22"/>
          <w:szCs w:val="22"/>
          <w:highlight w:val="none"/>
          <w:u w:val="single"/>
          <w:lang w:eastAsia="zh-CN"/>
        </w:rPr>
        <w:t>综合评分法</w:t>
      </w:r>
      <w:r>
        <w:rPr>
          <w:rFonts w:hint="eastAsia" w:ascii="仿宋" w:hAnsi="仿宋" w:eastAsia="仿宋" w:cs="仿宋"/>
          <w:color w:val="auto"/>
          <w:spacing w:val="-2"/>
          <w:sz w:val="22"/>
          <w:szCs w:val="22"/>
          <w:highlight w:val="none"/>
          <w:lang w:eastAsia="zh-CN"/>
        </w:rPr>
        <w:t>进行评审。</w:t>
      </w:r>
    </w:p>
    <w:p w14:paraId="2BCB16F1">
      <w:pPr>
        <w:pStyle w:val="9"/>
        <w:widowControl/>
        <w:kinsoku/>
        <w:topLinePunct w:val="0"/>
        <w:autoSpaceDE w:val="0"/>
        <w:autoSpaceDN w:val="0"/>
        <w:bidi w:val="0"/>
        <w:adjustRightInd w:val="0"/>
        <w:snapToGrid w:val="0"/>
        <w:spacing w:before="179" w:line="359" w:lineRule="auto"/>
        <w:ind w:left="3" w:firstLine="478"/>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综合评分法，是指在满足</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实质性要求的前提下，评标专家按照</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中规定的各项评审因素及其分值进行综合评分后，以评分从高到低的顺序推荐3家供应商作为中标候选供应商的评标方法。</w:t>
      </w:r>
    </w:p>
    <w:p w14:paraId="29C4CCED">
      <w:pPr>
        <w:pStyle w:val="9"/>
        <w:widowControl/>
        <w:kinsoku/>
        <w:topLinePunct w:val="0"/>
        <w:autoSpaceDE w:val="0"/>
        <w:autoSpaceDN w:val="0"/>
        <w:bidi w:val="0"/>
        <w:adjustRightInd w:val="0"/>
        <w:snapToGrid w:val="0"/>
        <w:spacing w:before="300" w:line="222"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二、评分因素</w:t>
      </w:r>
    </w:p>
    <w:p w14:paraId="4562D750">
      <w:pPr>
        <w:pStyle w:val="9"/>
        <w:widowControl/>
        <w:kinsoku/>
        <w:topLinePunct w:val="0"/>
        <w:autoSpaceDE w:val="0"/>
        <w:autoSpaceDN w:val="0"/>
        <w:bidi w:val="0"/>
        <w:adjustRightInd w:val="0"/>
        <w:snapToGrid w:val="0"/>
        <w:spacing w:before="179" w:line="359" w:lineRule="auto"/>
        <w:ind w:left="3"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评分的主要因素分为价格因素、技术因素和商务因素。评分因素详见评分表。评标分值保留至两位小数。评标时，评标专家依照评分表对每个有效供应商的投标文件进行独立评价、打分。</w:t>
      </w:r>
    </w:p>
    <w:p w14:paraId="2ABAB4C8">
      <w:pPr>
        <w:pStyle w:val="9"/>
        <w:widowControl/>
        <w:kinsoku/>
        <w:topLinePunct w:val="0"/>
        <w:autoSpaceDE w:val="0"/>
        <w:autoSpaceDN w:val="0"/>
        <w:bidi w:val="0"/>
        <w:adjustRightInd w:val="0"/>
        <w:snapToGrid w:val="0"/>
        <w:spacing w:before="177" w:line="222"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三、评分标准</w:t>
      </w:r>
    </w:p>
    <w:p w14:paraId="112A1F23">
      <w:pPr>
        <w:pStyle w:val="9"/>
        <w:widowControl/>
        <w:kinsoku/>
        <w:topLinePunct w:val="0"/>
        <w:autoSpaceDE w:val="0"/>
        <w:autoSpaceDN w:val="0"/>
        <w:bidi w:val="0"/>
        <w:adjustRightInd w:val="0"/>
        <w:snapToGrid w:val="0"/>
        <w:spacing w:before="179" w:line="222" w:lineRule="auto"/>
        <w:ind w:left="491"/>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1.初步审查表</w:t>
      </w:r>
    </w:p>
    <w:p w14:paraId="44F85A55">
      <w:pPr>
        <w:widowControl/>
        <w:kinsoku/>
        <w:topLinePunct w:val="0"/>
        <w:autoSpaceDE w:val="0"/>
        <w:autoSpaceDN w:val="0"/>
        <w:bidi w:val="0"/>
        <w:adjustRightInd w:val="0"/>
        <w:snapToGrid w:val="0"/>
        <w:spacing w:line="222" w:lineRule="auto"/>
        <w:rPr>
          <w:rFonts w:hint="eastAsia" w:ascii="仿宋" w:hAnsi="仿宋" w:eastAsia="仿宋" w:cs="仿宋"/>
          <w:color w:val="auto"/>
          <w:sz w:val="22"/>
          <w:szCs w:val="22"/>
          <w:highlight w:val="none"/>
        </w:rPr>
        <w:sectPr>
          <w:footerReference r:id="rId7" w:type="default"/>
          <w:pgSz w:w="11905" w:h="16838"/>
          <w:pgMar w:top="850" w:right="1134" w:bottom="850" w:left="1134" w:header="0" w:footer="782" w:gutter="0"/>
          <w:pgNumType w:fmt="decimal"/>
          <w:cols w:space="0" w:num="1"/>
          <w:rtlGutter w:val="0"/>
          <w:docGrid w:linePitch="0" w:charSpace="0"/>
        </w:sectPr>
      </w:pPr>
    </w:p>
    <w:p w14:paraId="2D779205">
      <w:pPr>
        <w:widowControl/>
        <w:kinsoku/>
        <w:topLinePunct w:val="0"/>
        <w:autoSpaceDE w:val="0"/>
        <w:autoSpaceDN w:val="0"/>
        <w:bidi w:val="0"/>
        <w:adjustRightInd w:val="0"/>
        <w:snapToGrid w:val="0"/>
        <w:spacing w:line="274" w:lineRule="auto"/>
        <w:rPr>
          <w:rFonts w:hint="eastAsia" w:ascii="仿宋" w:hAnsi="仿宋" w:eastAsia="仿宋" w:cs="仿宋"/>
          <w:color w:val="auto"/>
          <w:sz w:val="20"/>
          <w:szCs w:val="20"/>
          <w:highlight w:val="none"/>
        </w:rPr>
      </w:pPr>
    </w:p>
    <w:p w14:paraId="57E8EE82">
      <w:pPr>
        <w:pStyle w:val="5"/>
        <w:widowControl/>
        <w:kinsoku/>
        <w:topLinePunct w:val="0"/>
        <w:autoSpaceDE w:val="0"/>
        <w:autoSpaceDN w:val="0"/>
        <w:bidi w:val="0"/>
        <w:adjustRightInd w:val="0"/>
        <w:snapToGrid w:val="0"/>
        <w:jc w:val="center"/>
        <w:rPr>
          <w:rFonts w:hint="eastAsia" w:ascii="仿宋" w:hAnsi="仿宋" w:eastAsia="仿宋" w:cs="仿宋"/>
          <w:color w:val="auto"/>
          <w:sz w:val="36"/>
          <w:szCs w:val="24"/>
          <w:highlight w:val="none"/>
        </w:rPr>
      </w:pPr>
      <w:bookmarkStart w:id="11" w:name="_Toc25018"/>
      <w:r>
        <w:rPr>
          <w:rFonts w:hint="eastAsia" w:ascii="仿宋" w:hAnsi="仿宋" w:eastAsia="仿宋" w:cs="仿宋"/>
          <w:color w:val="auto"/>
          <w:sz w:val="36"/>
          <w:szCs w:val="24"/>
          <w:highlight w:val="none"/>
        </w:rPr>
        <w:t>初步审查表</w:t>
      </w:r>
      <w:bookmarkEnd w:id="11"/>
    </w:p>
    <w:tbl>
      <w:tblPr>
        <w:tblStyle w:val="30"/>
        <w:tblW w:w="998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4200"/>
        <w:gridCol w:w="4830"/>
      </w:tblGrid>
      <w:tr w14:paraId="29E2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3" w:type="dxa"/>
            <w:tcBorders>
              <w:top w:val="single" w:color="000000" w:sz="10" w:space="0"/>
              <w:left w:val="single" w:color="000000" w:sz="10" w:space="0"/>
            </w:tcBorders>
            <w:vAlign w:val="center"/>
          </w:tcPr>
          <w:p w14:paraId="62F7F0A4">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审查项目</w:t>
            </w:r>
          </w:p>
        </w:tc>
        <w:tc>
          <w:tcPr>
            <w:tcW w:w="4200" w:type="dxa"/>
            <w:tcBorders>
              <w:top w:val="single" w:color="000000" w:sz="10" w:space="0"/>
            </w:tcBorders>
            <w:vAlign w:val="center"/>
          </w:tcPr>
          <w:p w14:paraId="47296B28">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审查因素</w:t>
            </w:r>
          </w:p>
        </w:tc>
        <w:tc>
          <w:tcPr>
            <w:tcW w:w="4830" w:type="dxa"/>
            <w:tcBorders>
              <w:top w:val="single" w:color="000000" w:sz="10" w:space="0"/>
              <w:right w:val="single" w:color="000000" w:sz="10" w:space="0"/>
            </w:tcBorders>
            <w:vAlign w:val="center"/>
          </w:tcPr>
          <w:p w14:paraId="01D3FB12">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pacing w:val="-9"/>
                <w:sz w:val="22"/>
                <w:szCs w:val="22"/>
                <w:highlight w:val="none"/>
              </w:rPr>
              <w:t>审查标准</w:t>
            </w:r>
          </w:p>
        </w:tc>
      </w:tr>
      <w:tr w14:paraId="7B43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53" w:type="dxa"/>
            <w:vMerge w:val="restart"/>
            <w:tcBorders>
              <w:left w:val="single" w:color="000000" w:sz="10" w:space="0"/>
              <w:bottom w:val="nil"/>
            </w:tcBorders>
            <w:vAlign w:val="center"/>
          </w:tcPr>
          <w:p w14:paraId="02F5A58F">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b/>
                <w:bCs/>
                <w:color w:val="auto"/>
                <w:spacing w:val="-9"/>
                <w:sz w:val="22"/>
                <w:szCs w:val="22"/>
                <w:highlight w:val="none"/>
                <w:lang w:val="en-US" w:eastAsia="en-US"/>
              </w:rPr>
            </w:pPr>
            <w:r>
              <w:rPr>
                <w:rFonts w:hint="eastAsia" w:ascii="仿宋" w:hAnsi="仿宋" w:eastAsia="仿宋" w:cs="仿宋"/>
                <w:b/>
                <w:bCs/>
                <w:color w:val="auto"/>
                <w:spacing w:val="-9"/>
                <w:sz w:val="22"/>
                <w:szCs w:val="22"/>
                <w:highlight w:val="none"/>
                <w:lang w:val="en-US" w:eastAsia="en-US"/>
              </w:rPr>
              <w:t>资格性审查</w:t>
            </w:r>
          </w:p>
        </w:tc>
        <w:tc>
          <w:tcPr>
            <w:tcW w:w="4200" w:type="dxa"/>
            <w:vAlign w:val="center"/>
          </w:tcPr>
          <w:p w14:paraId="526BC1F2">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b/>
                <w:bCs/>
                <w:color w:val="auto"/>
                <w:spacing w:val="-9"/>
                <w:sz w:val="22"/>
                <w:szCs w:val="22"/>
                <w:highlight w:val="none"/>
                <w:lang w:eastAsia="zh-CN"/>
              </w:rPr>
            </w:pPr>
            <w:r>
              <w:rPr>
                <w:rFonts w:hint="eastAsia" w:ascii="仿宋" w:hAnsi="仿宋" w:eastAsia="仿宋" w:cs="仿宋"/>
                <w:b w:val="0"/>
                <w:bCs w:val="0"/>
                <w:color w:val="auto"/>
                <w:spacing w:val="-9"/>
                <w:sz w:val="22"/>
                <w:szCs w:val="22"/>
                <w:highlight w:val="none"/>
                <w:lang w:eastAsia="zh-CN"/>
              </w:rPr>
              <w:t>具有独立承担民事责任的能力</w:t>
            </w:r>
          </w:p>
        </w:tc>
        <w:tc>
          <w:tcPr>
            <w:tcW w:w="4830" w:type="dxa"/>
            <w:tcBorders>
              <w:right w:val="single" w:color="000000" w:sz="10" w:space="0"/>
            </w:tcBorders>
            <w:vAlign w:val="center"/>
          </w:tcPr>
          <w:p w14:paraId="50A2A9CE">
            <w:pPr>
              <w:pStyle w:val="31"/>
              <w:widowControl/>
              <w:kinsoku/>
              <w:topLinePunct w:val="0"/>
              <w:autoSpaceDE w:val="0"/>
              <w:autoSpaceDN w:val="0"/>
              <w:bidi w:val="0"/>
              <w:adjustRightInd w:val="0"/>
              <w:snapToGrid w:val="0"/>
              <w:spacing w:before="161"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供应商须在中华人民共和国境内注册，具有独立法人资格，持有合法有效的三证合一（营业执照、组织机构代码证、税务登记证）的营业执照（复印件加盖鲜章）</w:t>
            </w:r>
          </w:p>
        </w:tc>
      </w:tr>
      <w:tr w14:paraId="23D5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53" w:type="dxa"/>
            <w:vMerge w:val="continue"/>
            <w:tcBorders>
              <w:top w:val="nil"/>
              <w:left w:val="single" w:color="000000" w:sz="10" w:space="0"/>
              <w:bottom w:val="nil"/>
            </w:tcBorders>
            <w:vAlign w:val="center"/>
          </w:tcPr>
          <w:p w14:paraId="7FCE7D35">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3F9BFDB7">
            <w:pPr>
              <w:pStyle w:val="31"/>
              <w:widowControl/>
              <w:kinsoku/>
              <w:topLinePunct w:val="0"/>
              <w:autoSpaceDE w:val="0"/>
              <w:autoSpaceDN w:val="0"/>
              <w:bidi w:val="0"/>
              <w:adjustRightInd w:val="0"/>
              <w:snapToGrid w:val="0"/>
              <w:spacing w:line="222" w:lineRule="auto"/>
              <w:ind w:left="109"/>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具有良好的商业信誉和健全的财务会计制度</w:t>
            </w:r>
          </w:p>
        </w:tc>
        <w:tc>
          <w:tcPr>
            <w:tcW w:w="4830" w:type="dxa"/>
            <w:tcBorders>
              <w:right w:val="single" w:color="000000" w:sz="10" w:space="0"/>
            </w:tcBorders>
            <w:vAlign w:val="center"/>
          </w:tcPr>
          <w:p w14:paraId="0BAEEEE0">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color w:val="auto"/>
                <w:sz w:val="22"/>
                <w:szCs w:val="22"/>
                <w:highlight w:val="none"/>
              </w:rPr>
            </w:pPr>
            <w:r>
              <w:rPr>
                <w:rFonts w:hint="eastAsia" w:cs="仿宋"/>
                <w:color w:val="auto"/>
                <w:spacing w:val="-1"/>
                <w:sz w:val="22"/>
                <w:szCs w:val="22"/>
                <w:highlight w:val="none"/>
                <w:u w:val="none"/>
                <w:lang w:val="en-US" w:eastAsia="zh-CN"/>
              </w:rPr>
              <w:t>提供2023年或2024年财务审计报告或基本开户银行出具的资信证明</w:t>
            </w:r>
          </w:p>
        </w:tc>
      </w:tr>
      <w:tr w14:paraId="52D7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3" w:type="dxa"/>
            <w:vMerge w:val="continue"/>
            <w:tcBorders>
              <w:top w:val="nil"/>
              <w:left w:val="single" w:color="000000" w:sz="10" w:space="0"/>
              <w:bottom w:val="nil"/>
            </w:tcBorders>
            <w:vAlign w:val="center"/>
          </w:tcPr>
          <w:p w14:paraId="7A316BC5">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757F73BD">
            <w:pPr>
              <w:pStyle w:val="31"/>
              <w:widowControl/>
              <w:kinsoku/>
              <w:topLinePunct w:val="0"/>
              <w:autoSpaceDE w:val="0"/>
              <w:autoSpaceDN w:val="0"/>
              <w:bidi w:val="0"/>
              <w:adjustRightInd w:val="0"/>
              <w:snapToGrid w:val="0"/>
              <w:spacing w:line="220" w:lineRule="auto"/>
              <w:ind w:left="157"/>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pacing w:val="-4"/>
                <w:sz w:val="22"/>
                <w:szCs w:val="22"/>
                <w:highlight w:val="none"/>
                <w:lang w:eastAsia="zh-CN"/>
              </w:rPr>
              <w:t>具有履行合同所必需的设备和专业技术能力</w:t>
            </w:r>
          </w:p>
        </w:tc>
        <w:tc>
          <w:tcPr>
            <w:tcW w:w="4830" w:type="dxa"/>
            <w:tcBorders>
              <w:right w:val="single" w:color="000000" w:sz="10" w:space="0"/>
            </w:tcBorders>
            <w:vAlign w:val="center"/>
          </w:tcPr>
          <w:p w14:paraId="68CF0A20">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color w:val="auto"/>
                <w:sz w:val="22"/>
                <w:szCs w:val="22"/>
                <w:highlight w:val="none"/>
                <w:u w:val="none"/>
              </w:rPr>
            </w:pPr>
            <w:r>
              <w:rPr>
                <w:rFonts w:hint="eastAsia" w:ascii="仿宋" w:hAnsi="仿宋" w:eastAsia="仿宋" w:cs="仿宋"/>
                <w:b w:val="0"/>
                <w:bCs w:val="0"/>
                <w:color w:val="auto"/>
                <w:sz w:val="22"/>
                <w:szCs w:val="22"/>
                <w:highlight w:val="none"/>
                <w:u w:val="none"/>
                <w:lang w:eastAsia="zh-CN"/>
              </w:rPr>
              <w:t>提供具有履行合同所必需的设备和专业技术能力的相关资料（</w:t>
            </w:r>
            <w:r>
              <w:rPr>
                <w:rFonts w:hint="eastAsia" w:cs="仿宋"/>
                <w:b w:val="0"/>
                <w:bCs w:val="0"/>
                <w:color w:val="auto"/>
                <w:sz w:val="22"/>
                <w:szCs w:val="22"/>
                <w:highlight w:val="none"/>
                <w:u w:val="none"/>
                <w:lang w:eastAsia="zh-CN"/>
              </w:rPr>
              <w:t>提供承诺函，格式自拟</w:t>
            </w:r>
            <w:r>
              <w:rPr>
                <w:rFonts w:hint="eastAsia" w:ascii="仿宋" w:hAnsi="仿宋" w:eastAsia="仿宋" w:cs="仿宋"/>
                <w:b w:val="0"/>
                <w:bCs w:val="0"/>
                <w:color w:val="auto"/>
                <w:sz w:val="22"/>
                <w:szCs w:val="22"/>
                <w:highlight w:val="none"/>
                <w:u w:val="none"/>
                <w:lang w:eastAsia="zh-CN"/>
              </w:rPr>
              <w:t>）</w:t>
            </w:r>
          </w:p>
        </w:tc>
      </w:tr>
      <w:tr w14:paraId="2DD2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953" w:type="dxa"/>
            <w:vMerge w:val="continue"/>
            <w:tcBorders>
              <w:top w:val="nil"/>
              <w:left w:val="single" w:color="000000" w:sz="10" w:space="0"/>
              <w:bottom w:val="nil"/>
            </w:tcBorders>
            <w:vAlign w:val="center"/>
          </w:tcPr>
          <w:p w14:paraId="218D2E4E">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34356A49">
            <w:pPr>
              <w:pStyle w:val="31"/>
              <w:widowControl/>
              <w:kinsoku/>
              <w:topLinePunct w:val="0"/>
              <w:autoSpaceDE w:val="0"/>
              <w:autoSpaceDN w:val="0"/>
              <w:bidi w:val="0"/>
              <w:adjustRightInd w:val="0"/>
              <w:snapToGrid w:val="0"/>
              <w:spacing w:line="218" w:lineRule="auto"/>
              <w:ind w:left="108"/>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pacing w:val="-3"/>
                <w:sz w:val="22"/>
                <w:szCs w:val="22"/>
                <w:highlight w:val="none"/>
                <w:lang w:eastAsia="zh-CN"/>
              </w:rPr>
              <w:t>有依法缴纳税收和社会保障资金的良好记录</w:t>
            </w:r>
          </w:p>
        </w:tc>
        <w:tc>
          <w:tcPr>
            <w:tcW w:w="4830" w:type="dxa"/>
            <w:tcBorders>
              <w:right w:val="single" w:color="000000" w:sz="10" w:space="0"/>
            </w:tcBorders>
            <w:vAlign w:val="center"/>
          </w:tcPr>
          <w:p w14:paraId="22A6854C">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color w:val="auto"/>
                <w:sz w:val="22"/>
                <w:szCs w:val="22"/>
                <w:highlight w:val="none"/>
                <w:u w:val="none"/>
              </w:rPr>
            </w:pPr>
            <w:r>
              <w:rPr>
                <w:rFonts w:hint="eastAsia" w:cs="仿宋"/>
                <w:color w:val="auto"/>
                <w:spacing w:val="-3"/>
                <w:sz w:val="22"/>
                <w:szCs w:val="22"/>
                <w:highlight w:val="none"/>
                <w:u w:val="none"/>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所属期税款为“0”而  无缴纳凭证的，应有经税务机关盖章认可的零申报说明等证明； 成立未满 3 个月的投标供应商，提供成立之日起至投标截止日止 的税收和社会保障资金缴纳凭证。）</w:t>
            </w:r>
          </w:p>
        </w:tc>
      </w:tr>
      <w:tr w14:paraId="3C25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3" w:type="dxa"/>
            <w:vMerge w:val="continue"/>
            <w:tcBorders>
              <w:top w:val="nil"/>
              <w:left w:val="single" w:color="000000" w:sz="10" w:space="0"/>
              <w:bottom w:val="nil"/>
            </w:tcBorders>
            <w:vAlign w:val="center"/>
          </w:tcPr>
          <w:p w14:paraId="07F5EE5F">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4530C91C">
            <w:pPr>
              <w:pStyle w:val="31"/>
              <w:widowControl/>
              <w:kinsoku/>
              <w:topLinePunct w:val="0"/>
              <w:autoSpaceDE w:val="0"/>
              <w:autoSpaceDN w:val="0"/>
              <w:bidi w:val="0"/>
              <w:adjustRightInd w:val="0"/>
              <w:snapToGrid w:val="0"/>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参加政府采购活动前三年内，在经营活动中没有重大违法记录</w:t>
            </w:r>
          </w:p>
        </w:tc>
        <w:tc>
          <w:tcPr>
            <w:tcW w:w="4830" w:type="dxa"/>
            <w:tcBorders>
              <w:right w:val="single" w:color="000000" w:sz="10" w:space="0"/>
            </w:tcBorders>
            <w:vAlign w:val="center"/>
          </w:tcPr>
          <w:p w14:paraId="08D244BA">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color w:val="auto"/>
                <w:sz w:val="22"/>
                <w:szCs w:val="22"/>
                <w:highlight w:val="none"/>
                <w:u w:val="none"/>
              </w:rPr>
            </w:pPr>
            <w:r>
              <w:rPr>
                <w:rFonts w:hint="eastAsia" w:ascii="仿宋" w:hAnsi="仿宋" w:eastAsia="仿宋" w:cs="仿宋"/>
                <w:b w:val="0"/>
                <w:bCs w:val="0"/>
                <w:color w:val="auto"/>
                <w:sz w:val="22"/>
                <w:szCs w:val="22"/>
                <w:highlight w:val="none"/>
                <w:u w:val="none"/>
                <w:lang w:eastAsia="zh-CN"/>
              </w:rPr>
              <w:t>提供参加政府采购活动前3年内在经营活动中没有重大违法记录的书面声明（</w:t>
            </w:r>
            <w:r>
              <w:rPr>
                <w:rFonts w:hint="eastAsia" w:cs="仿宋"/>
                <w:b w:val="0"/>
                <w:bCs w:val="0"/>
                <w:color w:val="auto"/>
                <w:sz w:val="22"/>
                <w:szCs w:val="22"/>
                <w:highlight w:val="none"/>
                <w:u w:val="none"/>
                <w:lang w:eastAsia="zh-CN"/>
              </w:rPr>
              <w:t>提供声明函，格式自拟</w:t>
            </w:r>
            <w:r>
              <w:rPr>
                <w:rFonts w:hint="eastAsia" w:ascii="仿宋" w:hAnsi="仿宋" w:eastAsia="仿宋" w:cs="仿宋"/>
                <w:b w:val="0"/>
                <w:bCs w:val="0"/>
                <w:color w:val="auto"/>
                <w:sz w:val="22"/>
                <w:szCs w:val="22"/>
                <w:highlight w:val="none"/>
                <w:u w:val="none"/>
                <w:lang w:eastAsia="zh-CN"/>
              </w:rPr>
              <w:t>）</w:t>
            </w:r>
          </w:p>
        </w:tc>
      </w:tr>
      <w:tr w14:paraId="656C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53" w:type="dxa"/>
            <w:vMerge w:val="continue"/>
            <w:tcBorders>
              <w:top w:val="nil"/>
              <w:left w:val="single" w:color="000000" w:sz="10" w:space="0"/>
              <w:bottom w:val="nil"/>
            </w:tcBorders>
            <w:vAlign w:val="center"/>
          </w:tcPr>
          <w:p w14:paraId="42505DF9">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7F27BCB2">
            <w:pPr>
              <w:pStyle w:val="31"/>
              <w:widowControl/>
              <w:kinsoku/>
              <w:topLinePunct w:val="0"/>
              <w:autoSpaceDE w:val="0"/>
              <w:autoSpaceDN w:val="0"/>
              <w:bidi w:val="0"/>
              <w:adjustRightInd w:val="0"/>
              <w:snapToGrid w:val="0"/>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eastAsia="zh-CN"/>
              </w:rPr>
              <w:t>法律、行政法规规定的其他条件</w:t>
            </w:r>
          </w:p>
        </w:tc>
        <w:tc>
          <w:tcPr>
            <w:tcW w:w="4830" w:type="dxa"/>
            <w:tcBorders>
              <w:right w:val="single" w:color="000000" w:sz="10" w:space="0"/>
            </w:tcBorders>
            <w:vAlign w:val="center"/>
          </w:tcPr>
          <w:p w14:paraId="27E606B7">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snapToGrid w:val="0"/>
                <w:color w:val="auto"/>
                <w:sz w:val="22"/>
                <w:szCs w:val="22"/>
                <w:highlight w:val="none"/>
                <w:u w:val="none"/>
                <w:lang w:val="en-US" w:eastAsia="zh-CN" w:bidi="ar-SA"/>
              </w:rPr>
            </w:pPr>
            <w:r>
              <w:rPr>
                <w:rFonts w:hint="eastAsia" w:ascii="仿宋" w:hAnsi="仿宋" w:eastAsia="仿宋" w:cs="仿宋"/>
                <w:color w:val="auto"/>
                <w:spacing w:val="-5"/>
                <w:sz w:val="22"/>
                <w:szCs w:val="22"/>
                <w:highlight w:val="none"/>
                <w:u w:val="none"/>
                <w:lang w:val="en-US" w:eastAsia="zh-CN"/>
              </w:rPr>
              <w:t>列入失信被执行人、重大税收违法案件当事人名单、政府采购严重违法失信行为记录名单且还在执行期的投标人，拒绝其参与本次采购活动，查询渠道：“信用中国网站、中国政府采购网”网站，提供查询记录截图加盖投标人公章，截图须体现查询时间（查询时间为：公告发布之日起至开标前一天的任意时间），截图须清晰完整</w:t>
            </w:r>
          </w:p>
        </w:tc>
      </w:tr>
      <w:tr w14:paraId="6F4A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53" w:type="dxa"/>
            <w:vMerge w:val="continue"/>
            <w:tcBorders>
              <w:top w:val="nil"/>
              <w:left w:val="single" w:color="000000" w:sz="10" w:space="0"/>
              <w:bottom w:val="nil"/>
            </w:tcBorders>
            <w:vAlign w:val="center"/>
          </w:tcPr>
          <w:p w14:paraId="190CCB69">
            <w:pPr>
              <w:widowControl/>
              <w:kinsoku/>
              <w:topLinePunct w:val="0"/>
              <w:autoSpaceDE w:val="0"/>
              <w:autoSpaceDN w:val="0"/>
              <w:bidi w:val="0"/>
              <w:adjustRightInd w:val="0"/>
              <w:snapToGrid w:val="0"/>
              <w:jc w:val="center"/>
              <w:rPr>
                <w:rFonts w:hint="eastAsia" w:ascii="仿宋" w:hAnsi="仿宋" w:eastAsia="仿宋" w:cs="仿宋"/>
                <w:b/>
                <w:bCs/>
                <w:snapToGrid w:val="0"/>
                <w:color w:val="auto"/>
                <w:spacing w:val="-9"/>
                <w:sz w:val="22"/>
                <w:szCs w:val="22"/>
                <w:highlight w:val="none"/>
                <w:lang w:val="en-US" w:eastAsia="en-US" w:bidi="ar-SA"/>
              </w:rPr>
            </w:pPr>
          </w:p>
        </w:tc>
        <w:tc>
          <w:tcPr>
            <w:tcW w:w="4200" w:type="dxa"/>
            <w:vAlign w:val="center"/>
          </w:tcPr>
          <w:p w14:paraId="62C20F91">
            <w:pPr>
              <w:pStyle w:val="31"/>
              <w:widowControl/>
              <w:kinsoku/>
              <w:topLinePunct w:val="0"/>
              <w:autoSpaceDE w:val="0"/>
              <w:autoSpaceDN w:val="0"/>
              <w:bidi w:val="0"/>
              <w:adjustRightInd w:val="0"/>
              <w:snapToGrid w:val="0"/>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color w:val="auto"/>
                <w:spacing w:val="-3"/>
                <w:sz w:val="22"/>
                <w:szCs w:val="22"/>
                <w:highlight w:val="none"/>
              </w:rPr>
              <w:t>特定资格要求</w:t>
            </w:r>
          </w:p>
        </w:tc>
        <w:tc>
          <w:tcPr>
            <w:tcW w:w="4830" w:type="dxa"/>
            <w:tcBorders>
              <w:right w:val="single" w:color="000000" w:sz="10" w:space="0"/>
            </w:tcBorders>
            <w:vAlign w:val="center"/>
          </w:tcPr>
          <w:p w14:paraId="0B65DA23">
            <w:pPr>
              <w:pStyle w:val="31"/>
              <w:widowControl/>
              <w:kinsoku/>
              <w:topLinePunct w:val="0"/>
              <w:autoSpaceDE w:val="0"/>
              <w:autoSpaceDN w:val="0"/>
              <w:bidi w:val="0"/>
              <w:adjustRightInd w:val="0"/>
              <w:snapToGrid w:val="0"/>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cs="仿宋"/>
                <w:b w:val="0"/>
                <w:bCs w:val="0"/>
                <w:color w:val="auto"/>
                <w:sz w:val="22"/>
                <w:szCs w:val="22"/>
                <w:highlight w:val="none"/>
                <w:lang w:val="en-US" w:eastAsia="zh-CN"/>
              </w:rPr>
              <w:t>投标人须具备食品经营许可证或食品经营备案证明</w:t>
            </w:r>
            <w:r>
              <w:rPr>
                <w:rFonts w:hint="default" w:ascii="仿宋" w:hAnsi="仿宋" w:eastAsia="仿宋" w:cs="仿宋"/>
                <w:b w:val="0"/>
                <w:bCs w:val="0"/>
                <w:color w:val="auto"/>
                <w:sz w:val="22"/>
                <w:szCs w:val="22"/>
                <w:highlight w:val="none"/>
                <w:lang w:eastAsia="zh-Hans"/>
              </w:rPr>
              <w:t>。</w:t>
            </w:r>
          </w:p>
        </w:tc>
      </w:tr>
      <w:tr w14:paraId="02CC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53" w:type="dxa"/>
            <w:vMerge w:val="restart"/>
            <w:tcBorders>
              <w:left w:val="single" w:color="000000" w:sz="10" w:space="0"/>
              <w:bottom w:val="nil"/>
            </w:tcBorders>
            <w:vAlign w:val="center"/>
          </w:tcPr>
          <w:p w14:paraId="0C5291A5">
            <w:pPr>
              <w:widowControl/>
              <w:kinsoku/>
              <w:topLinePunct w:val="0"/>
              <w:autoSpaceDE w:val="0"/>
              <w:autoSpaceDN w:val="0"/>
              <w:bidi w:val="0"/>
              <w:adjustRightInd w:val="0"/>
              <w:snapToGrid w:val="0"/>
              <w:spacing w:line="253" w:lineRule="auto"/>
              <w:jc w:val="center"/>
              <w:rPr>
                <w:rFonts w:hint="eastAsia" w:ascii="仿宋" w:hAnsi="仿宋" w:eastAsia="仿宋" w:cs="仿宋"/>
                <w:b/>
                <w:bCs/>
                <w:snapToGrid w:val="0"/>
                <w:color w:val="auto"/>
                <w:spacing w:val="-9"/>
                <w:sz w:val="22"/>
                <w:szCs w:val="22"/>
                <w:highlight w:val="none"/>
                <w:lang w:val="en-US" w:eastAsia="en-US" w:bidi="ar-SA"/>
              </w:rPr>
            </w:pPr>
          </w:p>
          <w:p w14:paraId="35E8F120">
            <w:pPr>
              <w:pStyle w:val="31"/>
              <w:widowControl/>
              <w:kinsoku/>
              <w:topLinePunct w:val="0"/>
              <w:autoSpaceDE w:val="0"/>
              <w:autoSpaceDN w:val="0"/>
              <w:bidi w:val="0"/>
              <w:adjustRightInd w:val="0"/>
              <w:snapToGrid w:val="0"/>
              <w:spacing w:before="78" w:line="354" w:lineRule="auto"/>
              <w:ind w:right="126"/>
              <w:jc w:val="center"/>
              <w:rPr>
                <w:rFonts w:hint="eastAsia" w:ascii="仿宋" w:hAnsi="仿宋" w:eastAsia="仿宋" w:cs="仿宋"/>
                <w:b/>
                <w:bCs/>
                <w:snapToGrid w:val="0"/>
                <w:color w:val="auto"/>
                <w:spacing w:val="-9"/>
                <w:sz w:val="22"/>
                <w:szCs w:val="22"/>
                <w:highlight w:val="none"/>
                <w:lang w:val="en-US" w:eastAsia="en-US" w:bidi="ar-SA"/>
              </w:rPr>
            </w:pPr>
            <w:r>
              <w:rPr>
                <w:rFonts w:hint="eastAsia" w:ascii="仿宋" w:hAnsi="仿宋" w:eastAsia="仿宋" w:cs="仿宋"/>
                <w:b/>
                <w:bCs/>
                <w:snapToGrid w:val="0"/>
                <w:color w:val="auto"/>
                <w:spacing w:val="-9"/>
                <w:sz w:val="22"/>
                <w:szCs w:val="22"/>
                <w:highlight w:val="none"/>
                <w:lang w:val="en-US" w:eastAsia="en-US" w:bidi="ar-SA"/>
              </w:rPr>
              <w:t>符合性审查</w:t>
            </w:r>
          </w:p>
        </w:tc>
        <w:tc>
          <w:tcPr>
            <w:tcW w:w="4200" w:type="dxa"/>
            <w:vAlign w:val="center"/>
          </w:tcPr>
          <w:p w14:paraId="2EFDF793">
            <w:pPr>
              <w:pStyle w:val="31"/>
              <w:widowControl/>
              <w:kinsoku/>
              <w:topLinePunct w:val="0"/>
              <w:autoSpaceDE w:val="0"/>
              <w:autoSpaceDN w:val="0"/>
              <w:bidi w:val="0"/>
              <w:adjustRightInd w:val="0"/>
              <w:snapToGrid w:val="0"/>
              <w:spacing w:before="78" w:line="221"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供应商名称</w:t>
            </w:r>
          </w:p>
        </w:tc>
        <w:tc>
          <w:tcPr>
            <w:tcW w:w="4830" w:type="dxa"/>
            <w:tcBorders>
              <w:right w:val="single" w:color="000000" w:sz="10" w:space="0"/>
            </w:tcBorders>
            <w:vAlign w:val="center"/>
          </w:tcPr>
          <w:p w14:paraId="77B104AF">
            <w:pPr>
              <w:pStyle w:val="31"/>
              <w:widowControl/>
              <w:kinsoku/>
              <w:topLinePunct w:val="0"/>
              <w:autoSpaceDE w:val="0"/>
              <w:autoSpaceDN w:val="0"/>
              <w:bidi w:val="0"/>
              <w:adjustRightInd w:val="0"/>
              <w:snapToGrid w:val="0"/>
              <w:spacing w:before="78" w:line="222"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与营业执照一致</w:t>
            </w:r>
          </w:p>
        </w:tc>
      </w:tr>
      <w:tr w14:paraId="711D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53" w:type="dxa"/>
            <w:vMerge w:val="continue"/>
            <w:tcBorders>
              <w:top w:val="nil"/>
              <w:left w:val="single" w:color="000000" w:sz="10" w:space="0"/>
              <w:bottom w:val="nil"/>
            </w:tcBorders>
            <w:vAlign w:val="center"/>
          </w:tcPr>
          <w:p w14:paraId="343B9E44">
            <w:pPr>
              <w:widowControl/>
              <w:kinsoku/>
              <w:topLinePunct w:val="0"/>
              <w:autoSpaceDE w:val="0"/>
              <w:autoSpaceDN w:val="0"/>
              <w:bidi w:val="0"/>
              <w:adjustRightInd w:val="0"/>
              <w:snapToGrid w:val="0"/>
              <w:jc w:val="center"/>
              <w:rPr>
                <w:rFonts w:hint="eastAsia" w:ascii="仿宋" w:hAnsi="仿宋" w:eastAsia="仿宋" w:cs="仿宋"/>
                <w:color w:val="auto"/>
                <w:sz w:val="20"/>
                <w:szCs w:val="20"/>
                <w:highlight w:val="none"/>
              </w:rPr>
            </w:pPr>
          </w:p>
        </w:tc>
        <w:tc>
          <w:tcPr>
            <w:tcW w:w="4200" w:type="dxa"/>
            <w:vAlign w:val="center"/>
          </w:tcPr>
          <w:p w14:paraId="74F5D971">
            <w:pPr>
              <w:pStyle w:val="31"/>
              <w:widowControl/>
              <w:kinsoku/>
              <w:topLinePunct w:val="0"/>
              <w:autoSpaceDE w:val="0"/>
              <w:autoSpaceDN w:val="0"/>
              <w:bidi w:val="0"/>
              <w:adjustRightInd w:val="0"/>
              <w:snapToGrid w:val="0"/>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磋商函签字盖章</w:t>
            </w:r>
          </w:p>
        </w:tc>
        <w:tc>
          <w:tcPr>
            <w:tcW w:w="4830" w:type="dxa"/>
            <w:tcBorders>
              <w:right w:val="single" w:color="000000" w:sz="10" w:space="0"/>
            </w:tcBorders>
            <w:vAlign w:val="center"/>
          </w:tcPr>
          <w:p w14:paraId="06EDB481">
            <w:pPr>
              <w:pStyle w:val="31"/>
              <w:widowControl/>
              <w:kinsoku/>
              <w:topLinePunct w:val="0"/>
              <w:autoSpaceDE w:val="0"/>
              <w:autoSpaceDN w:val="0"/>
              <w:bidi w:val="0"/>
              <w:adjustRightInd w:val="0"/>
              <w:snapToGrid w:val="0"/>
              <w:spacing w:line="216" w:lineRule="auto"/>
              <w:jc w:val="both"/>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磋商函中的投标报价不得手写或做修改。</w:t>
            </w:r>
          </w:p>
        </w:tc>
      </w:tr>
      <w:tr w14:paraId="2338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53" w:type="dxa"/>
            <w:vMerge w:val="continue"/>
            <w:tcBorders>
              <w:top w:val="nil"/>
              <w:left w:val="single" w:color="000000" w:sz="10" w:space="0"/>
              <w:bottom w:val="nil"/>
            </w:tcBorders>
            <w:vAlign w:val="center"/>
          </w:tcPr>
          <w:p w14:paraId="435CBAEA">
            <w:pPr>
              <w:widowControl/>
              <w:kinsoku/>
              <w:topLinePunct w:val="0"/>
              <w:autoSpaceDE w:val="0"/>
              <w:autoSpaceDN w:val="0"/>
              <w:bidi w:val="0"/>
              <w:adjustRightInd w:val="0"/>
              <w:snapToGrid w:val="0"/>
              <w:jc w:val="center"/>
              <w:rPr>
                <w:rFonts w:hint="eastAsia" w:ascii="仿宋" w:hAnsi="仿宋" w:eastAsia="仿宋" w:cs="仿宋"/>
                <w:color w:val="auto"/>
                <w:sz w:val="20"/>
                <w:szCs w:val="20"/>
                <w:highlight w:val="none"/>
                <w:lang w:eastAsia="zh-CN"/>
              </w:rPr>
            </w:pPr>
          </w:p>
        </w:tc>
        <w:tc>
          <w:tcPr>
            <w:tcW w:w="4200" w:type="dxa"/>
            <w:vAlign w:val="center"/>
          </w:tcPr>
          <w:p w14:paraId="26213D8D">
            <w:pPr>
              <w:pStyle w:val="31"/>
              <w:widowControl/>
              <w:kinsoku/>
              <w:topLinePunct w:val="0"/>
              <w:autoSpaceDE w:val="0"/>
              <w:autoSpaceDN w:val="0"/>
              <w:bidi w:val="0"/>
              <w:adjustRightInd w:val="0"/>
              <w:snapToGrid w:val="0"/>
              <w:spacing w:before="175" w:line="214"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响应文件格式、签署</w:t>
            </w:r>
          </w:p>
        </w:tc>
        <w:tc>
          <w:tcPr>
            <w:tcW w:w="4830" w:type="dxa"/>
            <w:tcBorders>
              <w:right w:val="single" w:color="000000" w:sz="10" w:space="0"/>
            </w:tcBorders>
            <w:vAlign w:val="center"/>
          </w:tcPr>
          <w:p w14:paraId="69E70BF4">
            <w:pPr>
              <w:pStyle w:val="31"/>
              <w:widowControl/>
              <w:kinsoku/>
              <w:topLinePunct w:val="0"/>
              <w:autoSpaceDE w:val="0"/>
              <w:autoSpaceDN w:val="0"/>
              <w:bidi w:val="0"/>
              <w:adjustRightInd w:val="0"/>
              <w:snapToGrid w:val="0"/>
              <w:spacing w:before="175" w:line="214"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符合采购文件要求</w:t>
            </w:r>
          </w:p>
        </w:tc>
      </w:tr>
      <w:tr w14:paraId="2A1A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53" w:type="dxa"/>
            <w:vMerge w:val="continue"/>
            <w:tcBorders>
              <w:top w:val="nil"/>
              <w:left w:val="single" w:color="000000" w:sz="10" w:space="0"/>
              <w:bottom w:val="nil"/>
            </w:tcBorders>
            <w:vAlign w:val="center"/>
          </w:tcPr>
          <w:p w14:paraId="21B5A767">
            <w:pPr>
              <w:widowControl/>
              <w:kinsoku/>
              <w:topLinePunct w:val="0"/>
              <w:autoSpaceDE w:val="0"/>
              <w:autoSpaceDN w:val="0"/>
              <w:bidi w:val="0"/>
              <w:adjustRightInd w:val="0"/>
              <w:snapToGrid w:val="0"/>
              <w:jc w:val="center"/>
              <w:rPr>
                <w:rFonts w:hint="eastAsia" w:ascii="仿宋" w:hAnsi="仿宋" w:eastAsia="仿宋" w:cs="仿宋"/>
                <w:color w:val="auto"/>
                <w:sz w:val="20"/>
                <w:szCs w:val="20"/>
                <w:highlight w:val="none"/>
              </w:rPr>
            </w:pPr>
          </w:p>
        </w:tc>
        <w:tc>
          <w:tcPr>
            <w:tcW w:w="4200" w:type="dxa"/>
            <w:vAlign w:val="center"/>
          </w:tcPr>
          <w:p w14:paraId="20B2236F">
            <w:pPr>
              <w:pStyle w:val="31"/>
              <w:widowControl/>
              <w:kinsoku/>
              <w:topLinePunct w:val="0"/>
              <w:autoSpaceDE w:val="0"/>
              <w:autoSpaceDN w:val="0"/>
              <w:bidi w:val="0"/>
              <w:adjustRightInd w:val="0"/>
              <w:snapToGrid w:val="0"/>
              <w:spacing w:before="78"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3"/>
                <w:sz w:val="22"/>
                <w:szCs w:val="22"/>
                <w:highlight w:val="none"/>
                <w:lang w:val="en-US" w:eastAsia="zh-CN"/>
              </w:rPr>
              <w:t>投标报价</w:t>
            </w:r>
          </w:p>
        </w:tc>
        <w:tc>
          <w:tcPr>
            <w:tcW w:w="4830" w:type="dxa"/>
            <w:tcBorders>
              <w:right w:val="single" w:color="000000" w:sz="10" w:space="0"/>
            </w:tcBorders>
            <w:vAlign w:val="center"/>
          </w:tcPr>
          <w:p w14:paraId="40F7CFD6">
            <w:pPr>
              <w:pStyle w:val="31"/>
              <w:widowControl/>
              <w:kinsoku/>
              <w:topLinePunct w:val="0"/>
              <w:autoSpaceDE w:val="0"/>
              <w:autoSpaceDN w:val="0"/>
              <w:bidi w:val="0"/>
              <w:adjustRightInd w:val="0"/>
              <w:snapToGrid w:val="0"/>
              <w:spacing w:before="177" w:line="460" w:lineRule="exact"/>
              <w:jc w:val="left"/>
              <w:rPr>
                <w:rFonts w:hint="eastAsia" w:ascii="仿宋" w:hAnsi="仿宋" w:eastAsia="仿宋" w:cs="仿宋"/>
                <w:color w:val="auto"/>
                <w:sz w:val="22"/>
                <w:szCs w:val="22"/>
                <w:highlight w:val="none"/>
              </w:rPr>
            </w:pPr>
            <w:r>
              <w:rPr>
                <w:rFonts w:hint="eastAsia" w:ascii="仿宋" w:hAnsi="仿宋" w:eastAsia="仿宋" w:cs="仿宋"/>
                <w:color w:val="auto"/>
                <w:position w:val="16"/>
                <w:sz w:val="22"/>
                <w:szCs w:val="22"/>
                <w:highlight w:val="none"/>
                <w:lang w:eastAsia="zh-CN"/>
              </w:rPr>
              <w:t>未超出采购文件规定的</w:t>
            </w:r>
            <w:r>
              <w:rPr>
                <w:rFonts w:hint="eastAsia" w:ascii="仿宋" w:hAnsi="仿宋" w:eastAsia="仿宋" w:cs="仿宋"/>
                <w:color w:val="auto"/>
                <w:position w:val="16"/>
                <w:sz w:val="22"/>
                <w:szCs w:val="22"/>
                <w:highlight w:val="none"/>
                <w:lang w:val="en-US" w:eastAsia="zh-CN"/>
              </w:rPr>
              <w:t>最高投标限价</w:t>
            </w:r>
          </w:p>
        </w:tc>
      </w:tr>
      <w:tr w14:paraId="4C8E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2A1EF928">
            <w:pPr>
              <w:widowControl/>
              <w:kinsoku/>
              <w:topLinePunct w:val="0"/>
              <w:autoSpaceDE w:val="0"/>
              <w:autoSpaceDN w:val="0"/>
              <w:bidi w:val="0"/>
              <w:adjustRightInd w:val="0"/>
              <w:snapToGrid w:val="0"/>
              <w:jc w:val="center"/>
              <w:rPr>
                <w:rFonts w:hint="eastAsia" w:ascii="仿宋" w:hAnsi="仿宋" w:eastAsia="仿宋" w:cs="仿宋"/>
                <w:color w:val="auto"/>
                <w:sz w:val="20"/>
                <w:szCs w:val="20"/>
                <w:highlight w:val="none"/>
              </w:rPr>
            </w:pPr>
          </w:p>
        </w:tc>
        <w:tc>
          <w:tcPr>
            <w:tcW w:w="4200" w:type="dxa"/>
            <w:vAlign w:val="center"/>
          </w:tcPr>
          <w:p w14:paraId="6A6606B8">
            <w:pPr>
              <w:pStyle w:val="31"/>
              <w:widowControl/>
              <w:kinsoku/>
              <w:topLinePunct w:val="0"/>
              <w:autoSpaceDE w:val="0"/>
              <w:autoSpaceDN w:val="0"/>
              <w:bidi w:val="0"/>
              <w:adjustRightInd w:val="0"/>
              <w:snapToGrid w:val="0"/>
              <w:spacing w:before="79" w:line="22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商务符合性</w:t>
            </w:r>
          </w:p>
        </w:tc>
        <w:tc>
          <w:tcPr>
            <w:tcW w:w="4830" w:type="dxa"/>
            <w:tcBorders>
              <w:right w:val="single" w:color="000000" w:sz="10" w:space="0"/>
            </w:tcBorders>
            <w:vAlign w:val="center"/>
          </w:tcPr>
          <w:p w14:paraId="04EAE3F5">
            <w:pPr>
              <w:pStyle w:val="31"/>
              <w:widowControl/>
              <w:kinsoku/>
              <w:topLinePunct w:val="0"/>
              <w:autoSpaceDE w:val="0"/>
              <w:autoSpaceDN w:val="0"/>
              <w:bidi w:val="0"/>
              <w:adjustRightInd w:val="0"/>
              <w:snapToGrid w:val="0"/>
              <w:spacing w:line="209"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lang w:eastAsia="zh-CN"/>
              </w:rPr>
              <w:t>满足采购文件</w:t>
            </w:r>
            <w:r>
              <w:rPr>
                <w:rFonts w:hint="eastAsia" w:ascii="仿宋" w:hAnsi="仿宋" w:eastAsia="仿宋" w:cs="仿宋"/>
                <w:color w:val="auto"/>
                <w:spacing w:val="-2"/>
                <w:sz w:val="22"/>
                <w:szCs w:val="22"/>
                <w:highlight w:val="none"/>
                <w:lang w:val="en-US" w:eastAsia="zh-CN"/>
              </w:rPr>
              <w:t>第三章</w:t>
            </w:r>
            <w:r>
              <w:rPr>
                <w:rFonts w:hint="eastAsia" w:ascii="仿宋" w:hAnsi="仿宋" w:eastAsia="仿宋" w:cs="仿宋"/>
                <w:color w:val="auto"/>
                <w:spacing w:val="-2"/>
                <w:sz w:val="22"/>
                <w:szCs w:val="22"/>
                <w:highlight w:val="none"/>
                <w:lang w:eastAsia="zh-CN"/>
              </w:rPr>
              <w:t>要求</w:t>
            </w:r>
          </w:p>
        </w:tc>
      </w:tr>
      <w:tr w14:paraId="18827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53" w:type="dxa"/>
            <w:vMerge w:val="continue"/>
            <w:tcBorders>
              <w:top w:val="nil"/>
              <w:left w:val="single" w:color="000000" w:sz="10" w:space="0"/>
              <w:bottom w:val="single" w:color="auto" w:sz="4" w:space="0"/>
            </w:tcBorders>
            <w:vAlign w:val="center"/>
          </w:tcPr>
          <w:p w14:paraId="543581E0">
            <w:pPr>
              <w:widowControl/>
              <w:kinsoku/>
              <w:topLinePunct w:val="0"/>
              <w:autoSpaceDE w:val="0"/>
              <w:autoSpaceDN w:val="0"/>
              <w:bidi w:val="0"/>
              <w:adjustRightInd w:val="0"/>
              <w:snapToGrid w:val="0"/>
              <w:jc w:val="center"/>
              <w:rPr>
                <w:rFonts w:hint="eastAsia" w:ascii="仿宋" w:hAnsi="仿宋" w:eastAsia="仿宋" w:cs="仿宋"/>
                <w:color w:val="auto"/>
                <w:sz w:val="20"/>
                <w:szCs w:val="20"/>
                <w:highlight w:val="none"/>
              </w:rPr>
            </w:pPr>
          </w:p>
        </w:tc>
        <w:tc>
          <w:tcPr>
            <w:tcW w:w="4200" w:type="dxa"/>
            <w:tcBorders>
              <w:bottom w:val="single" w:color="auto" w:sz="4" w:space="0"/>
            </w:tcBorders>
            <w:vAlign w:val="center"/>
          </w:tcPr>
          <w:p w14:paraId="7C47404C">
            <w:pPr>
              <w:pStyle w:val="31"/>
              <w:widowControl/>
              <w:kinsoku/>
              <w:topLinePunct w:val="0"/>
              <w:autoSpaceDE w:val="0"/>
              <w:autoSpaceDN w:val="0"/>
              <w:bidi w:val="0"/>
              <w:adjustRightInd w:val="0"/>
              <w:snapToGrid w:val="0"/>
              <w:spacing w:before="78" w:line="22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无效标审查</w:t>
            </w:r>
          </w:p>
        </w:tc>
        <w:tc>
          <w:tcPr>
            <w:tcW w:w="4830" w:type="dxa"/>
            <w:tcBorders>
              <w:bottom w:val="single" w:color="auto" w:sz="4" w:space="0"/>
              <w:right w:val="single" w:color="000000" w:sz="10" w:space="0"/>
            </w:tcBorders>
            <w:vAlign w:val="center"/>
          </w:tcPr>
          <w:p w14:paraId="47C548B2">
            <w:pPr>
              <w:pStyle w:val="31"/>
              <w:widowControl/>
              <w:kinsoku/>
              <w:topLinePunct w:val="0"/>
              <w:autoSpaceDE w:val="0"/>
              <w:autoSpaceDN w:val="0"/>
              <w:bidi w:val="0"/>
              <w:adjustRightInd w:val="0"/>
              <w:snapToGrid w:val="0"/>
              <w:spacing w:before="183" w:line="222"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按本项目采购文件第四章无效标条款规定，审查是否通过</w:t>
            </w:r>
          </w:p>
        </w:tc>
      </w:tr>
    </w:tbl>
    <w:p w14:paraId="0613C4C8">
      <w:pPr>
        <w:pStyle w:val="9"/>
        <w:widowControl/>
        <w:kinsoku/>
        <w:topLinePunct w:val="0"/>
        <w:autoSpaceDE w:val="0"/>
        <w:autoSpaceDN w:val="0"/>
        <w:bidi w:val="0"/>
        <w:adjustRightInd w:val="0"/>
        <w:snapToGrid w:val="0"/>
        <w:spacing w:before="78" w:line="466" w:lineRule="exact"/>
        <w:rPr>
          <w:rFonts w:hint="eastAsia" w:ascii="仿宋" w:hAnsi="仿宋" w:eastAsia="仿宋" w:cs="仿宋"/>
          <w:color w:val="auto"/>
          <w:spacing w:val="-1"/>
          <w:position w:val="16"/>
          <w:sz w:val="22"/>
          <w:szCs w:val="22"/>
          <w:highlight w:val="none"/>
          <w:lang w:eastAsia="zh-CN"/>
          <w14:textOutline w14:w="4356" w14:cap="sq" w14:cmpd="sng" w14:algn="ctr">
            <w14:solidFill>
              <w14:srgbClr w14:val="000000"/>
            </w14:solidFill>
            <w14:prstDash w14:val="solid"/>
            <w14:bevel/>
          </w14:textOutline>
        </w:rPr>
      </w:pPr>
      <w:r>
        <w:rPr>
          <w:rFonts w:hint="eastAsia" w:ascii="仿宋" w:hAnsi="仿宋" w:eastAsia="仿宋" w:cs="仿宋"/>
          <w:b/>
          <w:bCs/>
          <w:color w:val="auto"/>
          <w:spacing w:val="-3"/>
          <w:sz w:val="22"/>
          <w:szCs w:val="22"/>
          <w:highlight w:val="none"/>
          <w:lang w:eastAsia="zh-CN"/>
        </w:rPr>
        <w:t>说明：供应商需完全满足“初步审查表”中列出的内容，</w:t>
      </w:r>
      <w:r>
        <w:rPr>
          <w:rFonts w:hint="eastAsia" w:ascii="仿宋" w:hAnsi="仿宋" w:eastAsia="仿宋" w:cs="仿宋"/>
          <w:b/>
          <w:bCs/>
          <w:color w:val="auto"/>
          <w:spacing w:val="-3"/>
          <w:sz w:val="22"/>
          <w:szCs w:val="22"/>
          <w:highlight w:val="none"/>
          <w:lang w:val="en-US" w:eastAsia="zh-CN"/>
        </w:rPr>
        <w:t>且提供的复印件均需加盖公章，</w:t>
      </w:r>
      <w:r>
        <w:rPr>
          <w:rFonts w:hint="eastAsia" w:ascii="仿宋" w:hAnsi="仿宋" w:eastAsia="仿宋" w:cs="仿宋"/>
          <w:b/>
          <w:bCs/>
          <w:color w:val="auto"/>
          <w:spacing w:val="-3"/>
          <w:sz w:val="22"/>
          <w:szCs w:val="22"/>
          <w:highlight w:val="none"/>
          <w:lang w:eastAsia="zh-CN"/>
        </w:rPr>
        <w:t>否则以无效标处理，不得进入评分环节。</w:t>
      </w:r>
    </w:p>
    <w:p w14:paraId="064C066D">
      <w:pPr>
        <w:widowControl/>
        <w:kinsoku/>
        <w:topLinePunct w:val="0"/>
        <w:autoSpaceDE w:val="0"/>
        <w:autoSpaceDN w:val="0"/>
        <w:bidi w:val="0"/>
        <w:adjustRightInd w:val="0"/>
        <w:snapToGrid w:val="0"/>
        <w:spacing w:line="221" w:lineRule="auto"/>
        <w:rPr>
          <w:rFonts w:hint="eastAsia" w:ascii="仿宋" w:hAnsi="仿宋" w:eastAsia="仿宋" w:cs="仿宋"/>
          <w:color w:val="auto"/>
          <w:sz w:val="22"/>
          <w:szCs w:val="22"/>
          <w:highlight w:val="none"/>
        </w:rPr>
        <w:sectPr>
          <w:footerReference r:id="rId8" w:type="default"/>
          <w:pgSz w:w="11905" w:h="16838"/>
          <w:pgMar w:top="850" w:right="1134" w:bottom="850" w:left="1134" w:header="0" w:footer="782" w:gutter="0"/>
          <w:pgNumType w:fmt="decimal"/>
          <w:cols w:space="0" w:num="1"/>
          <w:rtlGutter w:val="0"/>
          <w:docGrid w:linePitch="0" w:charSpace="0"/>
        </w:sectPr>
      </w:pPr>
    </w:p>
    <w:p w14:paraId="48AEA796">
      <w:pPr>
        <w:pStyle w:val="9"/>
        <w:widowControl/>
        <w:kinsoku/>
        <w:topLinePunct w:val="0"/>
        <w:autoSpaceDE w:val="0"/>
        <w:autoSpaceDN w:val="0"/>
        <w:bidi w:val="0"/>
        <w:adjustRightInd w:val="0"/>
        <w:snapToGrid w:val="0"/>
        <w:spacing w:before="78" w:line="222" w:lineRule="auto"/>
        <w:ind w:left="642"/>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2.评分表</w:t>
      </w:r>
    </w:p>
    <w:p w14:paraId="57846732">
      <w:pPr>
        <w:pStyle w:val="5"/>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36"/>
          <w:szCs w:val="24"/>
          <w:highlight w:val="none"/>
        </w:rPr>
      </w:pPr>
      <w:bookmarkStart w:id="12" w:name="_Toc25695"/>
      <w:r>
        <w:rPr>
          <w:rFonts w:hint="eastAsia" w:ascii="仿宋" w:hAnsi="仿宋" w:eastAsia="仿宋" w:cs="仿宋"/>
          <w:color w:val="auto"/>
          <w:sz w:val="36"/>
          <w:szCs w:val="24"/>
          <w:highlight w:val="none"/>
        </w:rPr>
        <w:t>评分表</w:t>
      </w:r>
      <w:bookmarkEnd w:id="12"/>
    </w:p>
    <w:p w14:paraId="1320B9F2">
      <w:pPr>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rPr>
      </w:pPr>
    </w:p>
    <w:tbl>
      <w:tblPr>
        <w:tblStyle w:val="30"/>
        <w:tblW w:w="97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026"/>
        <w:gridCol w:w="1153"/>
        <w:gridCol w:w="6191"/>
        <w:gridCol w:w="858"/>
      </w:tblGrid>
      <w:tr w14:paraId="2A559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82" w:type="dxa"/>
            <w:textDirection w:val="tbRlV"/>
          </w:tcPr>
          <w:p w14:paraId="0597A15A">
            <w:pPr>
              <w:pStyle w:val="31"/>
              <w:widowControl/>
              <w:kinsoku/>
              <w:topLinePunct w:val="0"/>
              <w:autoSpaceDE w:val="0"/>
              <w:autoSpaceDN w:val="0"/>
              <w:bidi w:val="0"/>
              <w:adjustRightInd w:val="0"/>
              <w:snapToGrid w:val="0"/>
              <w:spacing w:before="128" w:line="202" w:lineRule="auto"/>
              <w:ind w:left="47"/>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14:textOutline w14:w="4356" w14:cap="sq" w14:cmpd="sng" w14:algn="ctr">
                  <w14:solidFill>
                    <w14:srgbClr w14:val="000000"/>
                  </w14:solidFill>
                  <w14:prstDash w14:val="solid"/>
                  <w14:bevel/>
                </w14:textOutline>
              </w:rPr>
              <w:t>序号</w:t>
            </w:r>
          </w:p>
        </w:tc>
        <w:tc>
          <w:tcPr>
            <w:tcW w:w="2179" w:type="dxa"/>
            <w:gridSpan w:val="2"/>
          </w:tcPr>
          <w:p w14:paraId="3423547F">
            <w:pPr>
              <w:pStyle w:val="31"/>
              <w:widowControl/>
              <w:kinsoku/>
              <w:topLinePunct w:val="0"/>
              <w:autoSpaceDE w:val="0"/>
              <w:autoSpaceDN w:val="0"/>
              <w:bidi w:val="0"/>
              <w:adjustRightInd w:val="0"/>
              <w:snapToGrid w:val="0"/>
              <w:spacing w:before="225" w:line="222" w:lineRule="auto"/>
              <w:ind w:left="257"/>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14:textOutline w14:w="4356" w14:cap="sq" w14:cmpd="sng" w14:algn="ctr">
                  <w14:solidFill>
                    <w14:srgbClr w14:val="000000"/>
                  </w14:solidFill>
                  <w14:prstDash w14:val="solid"/>
                  <w14:bevel/>
                </w14:textOutline>
              </w:rPr>
              <w:t>评分因素及分值</w:t>
            </w:r>
          </w:p>
        </w:tc>
        <w:tc>
          <w:tcPr>
            <w:tcW w:w="6191" w:type="dxa"/>
          </w:tcPr>
          <w:p w14:paraId="604A3A6B">
            <w:pPr>
              <w:pStyle w:val="31"/>
              <w:widowControl/>
              <w:kinsoku/>
              <w:topLinePunct w:val="0"/>
              <w:autoSpaceDE w:val="0"/>
              <w:autoSpaceDN w:val="0"/>
              <w:bidi w:val="0"/>
              <w:adjustRightInd w:val="0"/>
              <w:snapToGrid w:val="0"/>
              <w:spacing w:before="225" w:line="222" w:lineRule="auto"/>
              <w:ind w:left="254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14:textOutline w14:w="4356" w14:cap="sq" w14:cmpd="sng" w14:algn="ctr">
                  <w14:solidFill>
                    <w14:srgbClr w14:val="000000"/>
                  </w14:solidFill>
                  <w14:prstDash w14:val="solid"/>
                  <w14:bevel/>
                </w14:textOutline>
              </w:rPr>
              <w:t>评分标准</w:t>
            </w:r>
          </w:p>
        </w:tc>
        <w:tc>
          <w:tcPr>
            <w:tcW w:w="858" w:type="dxa"/>
          </w:tcPr>
          <w:p w14:paraId="525AB58C">
            <w:pPr>
              <w:pStyle w:val="31"/>
              <w:widowControl/>
              <w:kinsoku/>
              <w:topLinePunct w:val="0"/>
              <w:autoSpaceDE w:val="0"/>
              <w:autoSpaceDN w:val="0"/>
              <w:bidi w:val="0"/>
              <w:adjustRightInd w:val="0"/>
              <w:snapToGrid w:val="0"/>
              <w:spacing w:before="225" w:line="223" w:lineRule="auto"/>
              <w:ind w:left="126"/>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14:textOutline w14:w="4356" w14:cap="sq" w14:cmpd="sng" w14:algn="ctr">
                  <w14:solidFill>
                    <w14:srgbClr w14:val="000000"/>
                  </w14:solidFill>
                  <w14:prstDash w14:val="solid"/>
                  <w14:bevel/>
                </w14:textOutline>
              </w:rPr>
              <w:t>分值</w:t>
            </w:r>
          </w:p>
        </w:tc>
      </w:tr>
      <w:tr w14:paraId="679C2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82" w:type="dxa"/>
          </w:tcPr>
          <w:p w14:paraId="1A2B3A3E">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78246A50">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4FAF64A5">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55FA9BC8">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5E8EBBFA">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25917BCE">
            <w:pPr>
              <w:widowControl/>
              <w:kinsoku/>
              <w:topLinePunct w:val="0"/>
              <w:autoSpaceDE w:val="0"/>
              <w:autoSpaceDN w:val="0"/>
              <w:bidi w:val="0"/>
              <w:adjustRightInd w:val="0"/>
              <w:snapToGrid w:val="0"/>
              <w:spacing w:line="247" w:lineRule="auto"/>
              <w:rPr>
                <w:rFonts w:hint="eastAsia" w:ascii="仿宋" w:hAnsi="仿宋" w:eastAsia="仿宋" w:cs="仿宋"/>
                <w:color w:val="auto"/>
                <w:sz w:val="21"/>
                <w:szCs w:val="21"/>
                <w:highlight w:val="none"/>
              </w:rPr>
            </w:pPr>
          </w:p>
          <w:p w14:paraId="62A09DB2">
            <w:pPr>
              <w:pStyle w:val="31"/>
              <w:widowControl/>
              <w:kinsoku/>
              <w:topLinePunct w:val="0"/>
              <w:autoSpaceDE w:val="0"/>
              <w:autoSpaceDN w:val="0"/>
              <w:bidi w:val="0"/>
              <w:adjustRightInd w:val="0"/>
              <w:snapToGrid w:val="0"/>
              <w:spacing w:before="78" w:line="181"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179" w:type="dxa"/>
            <w:gridSpan w:val="2"/>
          </w:tcPr>
          <w:p w14:paraId="43779405">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636D6936">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18F97841">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14AAC5A4">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2E798340">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754C4B1C">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71478E9C">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040BED35">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11FBEB36">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58E06E38">
            <w:pPr>
              <w:widowControl/>
              <w:kinsoku/>
              <w:topLinePunct w:val="0"/>
              <w:autoSpaceDE w:val="0"/>
              <w:autoSpaceDN w:val="0"/>
              <w:bidi w:val="0"/>
              <w:adjustRightInd w:val="0"/>
              <w:snapToGrid w:val="0"/>
              <w:spacing w:line="243" w:lineRule="auto"/>
              <w:rPr>
                <w:rFonts w:hint="eastAsia" w:ascii="仿宋" w:hAnsi="仿宋" w:eastAsia="仿宋" w:cs="仿宋"/>
                <w:color w:val="auto"/>
                <w:sz w:val="21"/>
                <w:szCs w:val="21"/>
                <w:highlight w:val="none"/>
              </w:rPr>
            </w:pPr>
          </w:p>
          <w:p w14:paraId="62E0DFAD">
            <w:pPr>
              <w:widowControl/>
              <w:kinsoku/>
              <w:topLinePunct w:val="0"/>
              <w:autoSpaceDE w:val="0"/>
              <w:autoSpaceDN w:val="0"/>
              <w:bidi w:val="0"/>
              <w:adjustRightInd w:val="0"/>
              <w:snapToGrid w:val="0"/>
              <w:spacing w:line="244" w:lineRule="auto"/>
              <w:rPr>
                <w:rFonts w:hint="eastAsia" w:ascii="仿宋" w:hAnsi="仿宋" w:eastAsia="仿宋" w:cs="仿宋"/>
                <w:color w:val="auto"/>
                <w:sz w:val="21"/>
                <w:szCs w:val="21"/>
                <w:highlight w:val="none"/>
              </w:rPr>
            </w:pPr>
          </w:p>
          <w:p w14:paraId="7C589D81">
            <w:pPr>
              <w:pStyle w:val="31"/>
              <w:widowControl/>
              <w:kinsoku/>
              <w:topLinePunct w:val="0"/>
              <w:autoSpaceDE w:val="0"/>
              <w:autoSpaceDN w:val="0"/>
              <w:bidi w:val="0"/>
              <w:adjustRightInd w:val="0"/>
              <w:snapToGrid w:val="0"/>
              <w:spacing w:before="78" w:line="222" w:lineRule="auto"/>
              <w:ind w:firstLine="202" w:firstLineChars="100"/>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价格部分（</w:t>
            </w:r>
            <w:r>
              <w:rPr>
                <w:rFonts w:hint="eastAsia" w:ascii="仿宋" w:hAnsi="仿宋" w:eastAsia="仿宋" w:cs="仿宋"/>
                <w:color w:val="auto"/>
                <w:spacing w:val="-4"/>
                <w:sz w:val="21"/>
                <w:szCs w:val="21"/>
                <w:highlight w:val="none"/>
                <w:lang w:val="en-US" w:eastAsia="zh-CN"/>
              </w:rPr>
              <w:t>10</w:t>
            </w:r>
            <w:r>
              <w:rPr>
                <w:rFonts w:hint="eastAsia" w:ascii="仿宋" w:hAnsi="仿宋" w:eastAsia="仿宋" w:cs="仿宋"/>
                <w:color w:val="auto"/>
                <w:spacing w:val="-4"/>
                <w:sz w:val="21"/>
                <w:szCs w:val="21"/>
                <w:highlight w:val="none"/>
              </w:rPr>
              <w:t>分）</w:t>
            </w:r>
          </w:p>
        </w:tc>
        <w:tc>
          <w:tcPr>
            <w:tcW w:w="6191" w:type="dxa"/>
          </w:tcPr>
          <w:p w14:paraId="49FA0A17">
            <w:pPr>
              <w:pStyle w:val="31"/>
              <w:widowControl/>
              <w:kinsoku/>
              <w:topLinePunct w:val="0"/>
              <w:autoSpaceDE w:val="0"/>
              <w:autoSpaceDN w:val="0"/>
              <w:bidi w:val="0"/>
              <w:adjustRightInd w:val="0"/>
              <w:snapToGrid w:val="0"/>
              <w:spacing w:before="36" w:line="240" w:lineRule="auto"/>
              <w:ind w:left="119" w:right="163"/>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满足采购文件要求且最终报价最低的为评标基准价，其报价分为满分。其他有效供应商报价分统一按照下列公</w:t>
            </w:r>
            <w:r>
              <w:rPr>
                <w:rFonts w:hint="eastAsia" w:ascii="仿宋" w:hAnsi="仿宋" w:eastAsia="仿宋" w:cs="仿宋"/>
                <w:color w:val="auto"/>
                <w:spacing w:val="-4"/>
                <w:sz w:val="21"/>
                <w:szCs w:val="21"/>
                <w:highlight w:val="none"/>
                <w:lang w:eastAsia="zh-CN"/>
              </w:rPr>
              <w:t>式计算：</w:t>
            </w:r>
          </w:p>
          <w:p w14:paraId="7F7F0124">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响应报价得分=（评标基准价÷最终报价）×</w:t>
            </w:r>
            <w:r>
              <w:rPr>
                <w:rFonts w:hint="eastAsia"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val="en-US" w:eastAsia="zh-CN"/>
              </w:rPr>
              <w:t>0</w:t>
            </w:r>
            <w:r>
              <w:rPr>
                <w:rFonts w:hint="eastAsia" w:ascii="仿宋" w:hAnsi="仿宋" w:eastAsia="仿宋" w:cs="仿宋"/>
                <w:color w:val="auto"/>
                <w:spacing w:val="-3"/>
                <w:sz w:val="21"/>
                <w:szCs w:val="21"/>
                <w:highlight w:val="none"/>
                <w:lang w:eastAsia="zh-CN"/>
              </w:rPr>
              <w:t>%×100</w:t>
            </w:r>
            <w:r>
              <w:rPr>
                <w:rFonts w:hint="eastAsia" w:ascii="仿宋" w:hAnsi="仿宋" w:eastAsia="仿宋" w:cs="仿宋"/>
                <w:color w:val="auto"/>
                <w:spacing w:val="-2"/>
                <w:sz w:val="21"/>
                <w:szCs w:val="21"/>
                <w:highlight w:val="none"/>
                <w:lang w:eastAsia="zh-CN"/>
              </w:rPr>
              <w:t>（四舍五入，保留小数点后两位）。</w:t>
            </w:r>
          </w:p>
          <w:p w14:paraId="157D17C5">
            <w:pPr>
              <w:pStyle w:val="31"/>
              <w:widowControl/>
              <w:kinsoku/>
              <w:topLinePunct w:val="0"/>
              <w:autoSpaceDE w:val="0"/>
              <w:autoSpaceDN w:val="0"/>
              <w:bidi w:val="0"/>
              <w:adjustRightInd w:val="0"/>
              <w:snapToGrid w:val="0"/>
              <w:spacing w:before="67" w:line="240" w:lineRule="auto"/>
              <w:ind w:left="125" w:right="102" w:hanging="1"/>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4"/>
                <w:sz w:val="21"/>
                <w:szCs w:val="21"/>
                <w:highlight w:val="none"/>
                <w:lang w:eastAsia="zh-CN"/>
              </w:rPr>
              <w:t>（</w:t>
            </w:r>
            <w:r>
              <w:rPr>
                <w:rFonts w:hint="eastAsia" w:ascii="仿宋" w:hAnsi="仿宋" w:eastAsia="仿宋" w:cs="仿宋"/>
                <w:color w:val="auto"/>
                <w:spacing w:val="-4"/>
                <w:sz w:val="21"/>
                <w:szCs w:val="21"/>
                <w:highlight w:val="none"/>
                <w:lang w:val="en-US" w:eastAsia="zh-CN"/>
              </w:rPr>
              <w:t>1</w:t>
            </w:r>
            <w:r>
              <w:rPr>
                <w:rFonts w:hint="eastAsia" w:ascii="仿宋" w:hAnsi="仿宋" w:eastAsia="仿宋" w:cs="仿宋"/>
                <w:color w:val="auto"/>
                <w:spacing w:val="-4"/>
                <w:sz w:val="21"/>
                <w:szCs w:val="21"/>
                <w:highlight w:val="none"/>
                <w:lang w:eastAsia="zh-CN"/>
              </w:rPr>
              <w:t>）响应报价中的大写金额和小写金额不一致的，以大写金额为准。</w:t>
            </w:r>
          </w:p>
          <w:p w14:paraId="5037E87E">
            <w:pPr>
              <w:pStyle w:val="9"/>
              <w:widowControl/>
              <w:numPr>
                <w:ilvl w:val="0"/>
                <w:numId w:val="0"/>
              </w:numPr>
              <w:kinsoku/>
              <w:topLinePunct w:val="0"/>
              <w:autoSpaceDE w:val="0"/>
              <w:autoSpaceDN w:val="0"/>
              <w:bidi w:val="0"/>
              <w:adjustRightInd w:val="0"/>
              <w:snapToGrid w:val="0"/>
              <w:spacing w:before="177" w:line="360" w:lineRule="auto"/>
              <w:ind w:firstLine="384"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9"/>
                <w:sz w:val="21"/>
                <w:szCs w:val="21"/>
                <w:highlight w:val="none"/>
                <w:lang w:eastAsia="zh-CN"/>
              </w:rPr>
              <w:t>（</w:t>
            </w:r>
            <w:r>
              <w:rPr>
                <w:rFonts w:hint="eastAsia" w:ascii="仿宋" w:hAnsi="仿宋" w:eastAsia="仿宋" w:cs="仿宋"/>
                <w:color w:val="auto"/>
                <w:spacing w:val="-2"/>
                <w:sz w:val="21"/>
                <w:szCs w:val="21"/>
                <w:highlight w:val="none"/>
                <w:lang w:val="en-US" w:eastAsia="zh-CN"/>
              </w:rPr>
              <w:t>注：①在评审过程中，评标委员会认为投标人的报价明显低于  其他通过符合性审查的投标人的报价，有可能影响产品质量或者不  能诚信履约的，应当要求其在评标现场合理的时间内（20 分钟）内 提供书面说明，必要时提交相关证明材料，相关证明材料是指：包  括但不限于各类货物或原材料的买进成本、装卸费用、运输费用、合理损耗、仓储保管、保险、管理成本、所得税、增值税、教育附 加、地方教育附加、城建附加、印花税、进项抵扣、合理利润）及 提供三年内 2 个类似低报价的成功项目案例资料（指前述相关各分 项的证明材料原件加招投标文件、中标通知书、采购合同、结算资 料、收款银行流水原件）佐证。</w:t>
            </w:r>
          </w:p>
          <w:p w14:paraId="0E787257">
            <w:pPr>
              <w:pStyle w:val="9"/>
              <w:widowControl/>
              <w:numPr>
                <w:ilvl w:val="0"/>
                <w:numId w:val="0"/>
              </w:numPr>
              <w:kinsoku/>
              <w:topLinePunct w:val="0"/>
              <w:autoSpaceDE w:val="0"/>
              <w:autoSpaceDN w:val="0"/>
              <w:bidi w:val="0"/>
              <w:adjustRightInd w:val="0"/>
              <w:snapToGrid w:val="0"/>
              <w:spacing w:before="177" w:line="360" w:lineRule="auto"/>
              <w:ind w:firstLine="412"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②投标人不能证明其报价合理性的，评标委员会应当将其作无效标处理。投标人书面说明应当按照国家财务会计制度的规定要求， 逐项就投标人提供的货物、工程和服务的主营业务成本（应根据投标人企业类型予以区别）、税金及附加、销售费用、管理费用、财 务费用等成本构成事项详细陈述。</w:t>
            </w:r>
          </w:p>
          <w:p w14:paraId="298AEAFA">
            <w:pPr>
              <w:pStyle w:val="9"/>
              <w:widowControl/>
              <w:numPr>
                <w:ilvl w:val="0"/>
                <w:numId w:val="0"/>
              </w:numPr>
              <w:kinsoku/>
              <w:topLinePunct w:val="0"/>
              <w:autoSpaceDE w:val="0"/>
              <w:autoSpaceDN w:val="0"/>
              <w:bidi w:val="0"/>
              <w:adjustRightInd w:val="0"/>
              <w:snapToGrid w:val="0"/>
              <w:spacing w:before="177" w:line="360" w:lineRule="auto"/>
              <w:ind w:firstLine="412"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③投标人书面说明应当签字确认或者加盖公章，否则无效。书 面说明的签字确认，投标人为法人的，由其法定代表人（负责人） 或者代理人签字确认；投标人为其他组织的，由其主要负责人或者 代理人签字确认；投标人为自然人的，由其本人或者代理人签字确 认。</w:t>
            </w:r>
          </w:p>
          <w:p w14:paraId="55780C87">
            <w:pPr>
              <w:pStyle w:val="9"/>
              <w:widowControl/>
              <w:numPr>
                <w:ilvl w:val="0"/>
                <w:numId w:val="0"/>
              </w:numPr>
              <w:kinsoku/>
              <w:topLinePunct w:val="0"/>
              <w:autoSpaceDE w:val="0"/>
              <w:autoSpaceDN w:val="0"/>
              <w:bidi w:val="0"/>
              <w:adjustRightInd w:val="0"/>
              <w:snapToGrid w:val="0"/>
              <w:spacing w:before="177" w:line="360" w:lineRule="auto"/>
              <w:ind w:firstLine="412" w:firstLineChars="200"/>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2"/>
                <w:sz w:val="21"/>
                <w:szCs w:val="21"/>
                <w:highlight w:val="none"/>
                <w:lang w:val="en-US" w:eastAsia="zh-CN"/>
              </w:rPr>
              <w:t>④投标人提供书面说明后，评标委员会应当结合采购项目采购 需求、专业实际情况、投标人提供的书面说明和相关证明材料、与 其他投标人比较情况等就投标人书面说明进行审查评价。投标人拒 绝或者变相拒绝提供有效书面说明或者书面说明不能证明其报价合 理性的，评标委员会应当将其投标文件作为无效标处理。</w:t>
            </w:r>
          </w:p>
        </w:tc>
        <w:tc>
          <w:tcPr>
            <w:tcW w:w="858" w:type="dxa"/>
          </w:tcPr>
          <w:p w14:paraId="479FA779">
            <w:pPr>
              <w:widowControl/>
              <w:kinsoku/>
              <w:topLinePunct w:val="0"/>
              <w:autoSpaceDE w:val="0"/>
              <w:autoSpaceDN w:val="0"/>
              <w:bidi w:val="0"/>
              <w:adjustRightInd w:val="0"/>
              <w:snapToGrid w:val="0"/>
              <w:spacing w:line="253" w:lineRule="auto"/>
              <w:rPr>
                <w:rFonts w:hint="eastAsia" w:ascii="仿宋" w:hAnsi="仿宋" w:eastAsia="仿宋" w:cs="仿宋"/>
                <w:color w:val="auto"/>
                <w:sz w:val="21"/>
                <w:szCs w:val="21"/>
                <w:highlight w:val="none"/>
                <w:lang w:eastAsia="zh-CN"/>
              </w:rPr>
            </w:pPr>
          </w:p>
          <w:p w14:paraId="34175401">
            <w:pPr>
              <w:widowControl/>
              <w:kinsoku/>
              <w:topLinePunct w:val="0"/>
              <w:autoSpaceDE w:val="0"/>
              <w:autoSpaceDN w:val="0"/>
              <w:bidi w:val="0"/>
              <w:adjustRightInd w:val="0"/>
              <w:snapToGrid w:val="0"/>
              <w:spacing w:line="253" w:lineRule="auto"/>
              <w:rPr>
                <w:rFonts w:hint="eastAsia" w:ascii="仿宋" w:hAnsi="仿宋" w:eastAsia="仿宋" w:cs="仿宋"/>
                <w:color w:val="auto"/>
                <w:sz w:val="21"/>
                <w:szCs w:val="21"/>
                <w:highlight w:val="none"/>
                <w:lang w:eastAsia="zh-CN"/>
              </w:rPr>
            </w:pPr>
          </w:p>
          <w:p w14:paraId="63ADD06D">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12753072">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016D063D">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199A8B8A">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532DB141">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3E43CD45">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624BAD9D">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40218533">
            <w:pPr>
              <w:widowControl/>
              <w:kinsoku/>
              <w:topLinePunct w:val="0"/>
              <w:autoSpaceDE w:val="0"/>
              <w:autoSpaceDN w:val="0"/>
              <w:bidi w:val="0"/>
              <w:adjustRightInd w:val="0"/>
              <w:snapToGrid w:val="0"/>
              <w:spacing w:line="254" w:lineRule="auto"/>
              <w:rPr>
                <w:rFonts w:hint="eastAsia" w:ascii="仿宋" w:hAnsi="仿宋" w:eastAsia="仿宋" w:cs="仿宋"/>
                <w:color w:val="auto"/>
                <w:sz w:val="21"/>
                <w:szCs w:val="21"/>
                <w:highlight w:val="none"/>
                <w:lang w:eastAsia="zh-CN"/>
              </w:rPr>
            </w:pPr>
          </w:p>
          <w:p w14:paraId="032C04BE">
            <w:pPr>
              <w:pStyle w:val="31"/>
              <w:widowControl/>
              <w:kinsoku/>
              <w:topLinePunct w:val="0"/>
              <w:autoSpaceDE w:val="0"/>
              <w:autoSpaceDN w:val="0"/>
              <w:bidi w:val="0"/>
              <w:adjustRightInd w:val="0"/>
              <w:snapToGrid w:val="0"/>
              <w:spacing w:before="78" w:line="234" w:lineRule="auto"/>
              <w:ind w:right="156"/>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0-</w:t>
            </w:r>
            <w:r>
              <w:rPr>
                <w:rFonts w:hint="eastAsia"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val="en-US" w:eastAsia="zh-CN"/>
              </w:rPr>
              <w:t>0</w:t>
            </w:r>
            <w:r>
              <w:rPr>
                <w:rFonts w:hint="eastAsia" w:ascii="仿宋" w:hAnsi="仿宋" w:eastAsia="仿宋" w:cs="仿宋"/>
                <w:color w:val="auto"/>
                <w:sz w:val="21"/>
                <w:szCs w:val="21"/>
                <w:highlight w:val="none"/>
              </w:rPr>
              <w:t>分</w:t>
            </w:r>
          </w:p>
        </w:tc>
      </w:tr>
      <w:tr w14:paraId="7304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82" w:type="dxa"/>
            <w:vMerge w:val="restart"/>
          </w:tcPr>
          <w:p w14:paraId="7F8C7242">
            <w:pPr>
              <w:widowControl/>
              <w:kinsoku/>
              <w:topLinePunct w:val="0"/>
              <w:autoSpaceDE w:val="0"/>
              <w:autoSpaceDN w:val="0"/>
              <w:bidi w:val="0"/>
              <w:adjustRightInd w:val="0"/>
              <w:snapToGrid w:val="0"/>
              <w:rPr>
                <w:rFonts w:hint="eastAsia" w:ascii="仿宋" w:hAnsi="仿宋" w:eastAsia="仿宋" w:cs="仿宋"/>
                <w:color w:val="auto"/>
                <w:sz w:val="21"/>
                <w:szCs w:val="21"/>
                <w:highlight w:val="none"/>
              </w:rPr>
            </w:pPr>
          </w:p>
          <w:p w14:paraId="1D6CA2FE">
            <w:pPr>
              <w:widowControl/>
              <w:kinsoku/>
              <w:topLinePunct w:val="0"/>
              <w:autoSpaceDE w:val="0"/>
              <w:autoSpaceDN w:val="0"/>
              <w:bidi w:val="0"/>
              <w:adjustRightInd w:val="0"/>
              <w:snapToGrid w:val="0"/>
              <w:rPr>
                <w:rFonts w:hint="eastAsia" w:ascii="仿宋" w:hAnsi="仿宋" w:eastAsia="仿宋" w:cs="仿宋"/>
                <w:color w:val="auto"/>
                <w:sz w:val="21"/>
                <w:szCs w:val="21"/>
                <w:highlight w:val="none"/>
              </w:rPr>
            </w:pPr>
          </w:p>
          <w:p w14:paraId="723FCF22">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37ECA7AB">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4A83CF55">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07672176">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042D44A6">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3F162141">
            <w:pPr>
              <w:widowControl/>
              <w:kinsoku/>
              <w:topLinePunct w:val="0"/>
              <w:autoSpaceDE w:val="0"/>
              <w:autoSpaceDN w:val="0"/>
              <w:bidi w:val="0"/>
              <w:adjustRightInd w:val="0"/>
              <w:snapToGrid w:val="0"/>
              <w:spacing w:line="241" w:lineRule="auto"/>
              <w:rPr>
                <w:rFonts w:hint="eastAsia" w:ascii="仿宋" w:hAnsi="仿宋" w:eastAsia="仿宋" w:cs="仿宋"/>
                <w:color w:val="auto"/>
                <w:sz w:val="21"/>
                <w:szCs w:val="21"/>
                <w:highlight w:val="none"/>
              </w:rPr>
            </w:pPr>
          </w:p>
          <w:p w14:paraId="13CF4F73">
            <w:pPr>
              <w:pStyle w:val="31"/>
              <w:widowControl/>
              <w:kinsoku/>
              <w:topLinePunct w:val="0"/>
              <w:autoSpaceDE w:val="0"/>
              <w:autoSpaceDN w:val="0"/>
              <w:bidi w:val="0"/>
              <w:adjustRightInd w:val="0"/>
              <w:snapToGrid w:val="0"/>
              <w:spacing w:before="78" w:line="180" w:lineRule="auto"/>
              <w:ind w:left="1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26" w:type="dxa"/>
            <w:vMerge w:val="restart"/>
          </w:tcPr>
          <w:p w14:paraId="6205939B">
            <w:pPr>
              <w:widowControl/>
              <w:kinsoku/>
              <w:topLinePunct w:val="0"/>
              <w:autoSpaceDE w:val="0"/>
              <w:autoSpaceDN w:val="0"/>
              <w:bidi w:val="0"/>
              <w:adjustRightInd w:val="0"/>
              <w:snapToGrid w:val="0"/>
              <w:spacing w:line="276" w:lineRule="auto"/>
              <w:rPr>
                <w:rFonts w:hint="eastAsia" w:ascii="仿宋" w:hAnsi="仿宋" w:eastAsia="仿宋" w:cs="仿宋"/>
                <w:color w:val="auto"/>
                <w:sz w:val="21"/>
                <w:szCs w:val="21"/>
                <w:highlight w:val="none"/>
              </w:rPr>
            </w:pPr>
          </w:p>
          <w:p w14:paraId="23D52C94">
            <w:pPr>
              <w:widowControl/>
              <w:kinsoku/>
              <w:topLinePunct w:val="0"/>
              <w:autoSpaceDE w:val="0"/>
              <w:autoSpaceDN w:val="0"/>
              <w:bidi w:val="0"/>
              <w:adjustRightInd w:val="0"/>
              <w:snapToGrid w:val="0"/>
              <w:spacing w:line="276" w:lineRule="auto"/>
              <w:rPr>
                <w:rFonts w:hint="eastAsia" w:ascii="仿宋" w:hAnsi="仿宋" w:eastAsia="仿宋" w:cs="仿宋"/>
                <w:color w:val="auto"/>
                <w:sz w:val="21"/>
                <w:szCs w:val="21"/>
                <w:highlight w:val="none"/>
              </w:rPr>
            </w:pPr>
          </w:p>
          <w:p w14:paraId="1E929956">
            <w:pPr>
              <w:widowControl/>
              <w:kinsoku/>
              <w:topLinePunct w:val="0"/>
              <w:autoSpaceDE w:val="0"/>
              <w:autoSpaceDN w:val="0"/>
              <w:bidi w:val="0"/>
              <w:adjustRightInd w:val="0"/>
              <w:snapToGrid w:val="0"/>
              <w:spacing w:line="277" w:lineRule="auto"/>
              <w:rPr>
                <w:rFonts w:hint="eastAsia" w:ascii="仿宋" w:hAnsi="仿宋" w:eastAsia="仿宋" w:cs="仿宋"/>
                <w:color w:val="auto"/>
                <w:sz w:val="21"/>
                <w:szCs w:val="21"/>
                <w:highlight w:val="none"/>
              </w:rPr>
            </w:pPr>
          </w:p>
          <w:p w14:paraId="3803ABD2">
            <w:pPr>
              <w:widowControl/>
              <w:kinsoku/>
              <w:topLinePunct w:val="0"/>
              <w:autoSpaceDE w:val="0"/>
              <w:autoSpaceDN w:val="0"/>
              <w:bidi w:val="0"/>
              <w:adjustRightInd w:val="0"/>
              <w:snapToGrid w:val="0"/>
              <w:spacing w:line="277" w:lineRule="auto"/>
              <w:rPr>
                <w:rFonts w:hint="eastAsia" w:ascii="仿宋" w:hAnsi="仿宋" w:eastAsia="仿宋" w:cs="仿宋"/>
                <w:color w:val="auto"/>
                <w:sz w:val="21"/>
                <w:szCs w:val="21"/>
                <w:highlight w:val="none"/>
              </w:rPr>
            </w:pPr>
          </w:p>
          <w:p w14:paraId="76A02558">
            <w:pPr>
              <w:pStyle w:val="31"/>
              <w:widowControl/>
              <w:kinsoku/>
              <w:topLinePunct w:val="0"/>
              <w:autoSpaceDE w:val="0"/>
              <w:autoSpaceDN w:val="0"/>
              <w:bidi w:val="0"/>
              <w:adjustRightInd w:val="0"/>
              <w:snapToGrid w:val="0"/>
              <w:spacing w:before="78" w:line="234" w:lineRule="auto"/>
              <w:ind w:left="121" w:right="106" w:hanging="1"/>
              <w:jc w:val="both"/>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技术部分（15分）</w:t>
            </w:r>
          </w:p>
        </w:tc>
        <w:tc>
          <w:tcPr>
            <w:tcW w:w="1153" w:type="dxa"/>
            <w:vAlign w:val="center"/>
          </w:tcPr>
          <w:p w14:paraId="4E454A47">
            <w:pPr>
              <w:pStyle w:val="9"/>
              <w:widowControl/>
              <w:numPr>
                <w:ilvl w:val="0"/>
                <w:numId w:val="0"/>
              </w:numPr>
              <w:kinsoku/>
              <w:topLinePunct w:val="0"/>
              <w:autoSpaceDE w:val="0"/>
              <w:autoSpaceDN w:val="0"/>
              <w:bidi w:val="0"/>
              <w:adjustRightInd w:val="0"/>
              <w:snapToGrid w:val="0"/>
              <w:spacing w:before="177" w:line="360" w:lineRule="auto"/>
              <w:rPr>
                <w:rFonts w:hint="eastAsia" w:ascii="仿宋" w:hAnsi="仿宋" w:eastAsia="仿宋" w:cs="仿宋"/>
                <w:color w:val="auto"/>
                <w:spacing w:val="-2"/>
                <w:sz w:val="21"/>
                <w:szCs w:val="21"/>
                <w:highlight w:val="none"/>
                <w:lang w:val="en-US" w:eastAsia="zh-CN"/>
              </w:rPr>
            </w:pPr>
            <w:r>
              <w:rPr>
                <w:rFonts w:hint="eastAsia"/>
                <w:bCs/>
                <w:color w:val="auto"/>
                <w:sz w:val="21"/>
                <w:szCs w:val="21"/>
                <w:highlight w:val="none"/>
                <w:lang w:eastAsia="zh-CN"/>
              </w:rPr>
              <w:t>食堂经营方案（</w:t>
            </w:r>
            <w:r>
              <w:rPr>
                <w:rFonts w:hint="eastAsia"/>
                <w:bCs/>
                <w:color w:val="auto"/>
                <w:sz w:val="21"/>
                <w:szCs w:val="21"/>
                <w:highlight w:val="none"/>
                <w:lang w:val="en-US" w:eastAsia="zh-CN"/>
              </w:rPr>
              <w:t>8分</w:t>
            </w:r>
            <w:r>
              <w:rPr>
                <w:rFonts w:hint="eastAsia"/>
                <w:bCs/>
                <w:color w:val="auto"/>
                <w:sz w:val="21"/>
                <w:szCs w:val="21"/>
                <w:highlight w:val="none"/>
                <w:lang w:eastAsia="zh-CN"/>
              </w:rPr>
              <w:t>）</w:t>
            </w:r>
          </w:p>
        </w:tc>
        <w:tc>
          <w:tcPr>
            <w:tcW w:w="6191" w:type="dxa"/>
            <w:vAlign w:val="top"/>
          </w:tcPr>
          <w:p w14:paraId="62AA8381">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ascii="仿宋" w:hAnsi="仿宋" w:eastAsia="仿宋" w:cs="仿宋"/>
                <w:color w:val="auto"/>
                <w:spacing w:val="-3"/>
                <w:sz w:val="21"/>
                <w:szCs w:val="21"/>
                <w:highlight w:val="none"/>
                <w:lang w:eastAsia="zh-CN"/>
              </w:rPr>
              <w:t>评委根据投标人食堂经营方案可行性、实用性、针对性等综合情况（含质量控制、安全应急处置措施、卫生管理、原材料采购措施等）进行综合评分：</w:t>
            </w:r>
          </w:p>
          <w:p w14:paraId="54F7EE59">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eastAsia="zh-CN"/>
              </w:rPr>
              <w:t>方案详细、内容完善、描述</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清晰的得</w:t>
            </w:r>
            <w:r>
              <w:rPr>
                <w:rFonts w:hint="eastAsia" w:cs="仿宋"/>
                <w:color w:val="auto"/>
                <w:spacing w:val="-3"/>
                <w:sz w:val="21"/>
                <w:szCs w:val="21"/>
                <w:highlight w:val="none"/>
                <w:lang w:val="en-US" w:eastAsia="zh-CN"/>
              </w:rPr>
              <w:t>8</w:t>
            </w:r>
            <w:r>
              <w:rPr>
                <w:rFonts w:hint="eastAsia" w:ascii="仿宋" w:hAnsi="仿宋" w:eastAsia="仿宋" w:cs="仿宋"/>
                <w:color w:val="auto"/>
                <w:spacing w:val="-3"/>
                <w:sz w:val="21"/>
                <w:szCs w:val="21"/>
                <w:highlight w:val="none"/>
                <w:lang w:eastAsia="zh-CN"/>
              </w:rPr>
              <w:t xml:space="preserve">分； </w:t>
            </w:r>
          </w:p>
          <w:p w14:paraId="44DAB4A6">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2、</w:t>
            </w:r>
            <w:r>
              <w:rPr>
                <w:rFonts w:hint="eastAsia" w:ascii="仿宋" w:hAnsi="仿宋" w:eastAsia="仿宋" w:cs="仿宋"/>
                <w:color w:val="auto"/>
                <w:spacing w:val="-3"/>
                <w:sz w:val="21"/>
                <w:szCs w:val="21"/>
                <w:highlight w:val="none"/>
                <w:lang w:eastAsia="zh-CN"/>
              </w:rPr>
              <w:t>方案较详细、内容较完善、描述较清晰的得</w:t>
            </w:r>
            <w:r>
              <w:rPr>
                <w:rFonts w:hint="eastAsia" w:cs="仿宋"/>
                <w:color w:val="auto"/>
                <w:spacing w:val="-3"/>
                <w:sz w:val="21"/>
                <w:szCs w:val="21"/>
                <w:highlight w:val="none"/>
                <w:lang w:val="en-US" w:eastAsia="zh-CN"/>
              </w:rPr>
              <w:t>6</w:t>
            </w:r>
            <w:r>
              <w:rPr>
                <w:rFonts w:hint="eastAsia" w:ascii="仿宋" w:hAnsi="仿宋" w:eastAsia="仿宋" w:cs="仿宋"/>
                <w:color w:val="auto"/>
                <w:spacing w:val="-3"/>
                <w:sz w:val="21"/>
                <w:szCs w:val="21"/>
                <w:highlight w:val="none"/>
                <w:lang w:eastAsia="zh-CN"/>
              </w:rPr>
              <w:t>分；</w:t>
            </w:r>
          </w:p>
          <w:p w14:paraId="78AFBB26">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3、</w:t>
            </w:r>
            <w:r>
              <w:rPr>
                <w:rFonts w:hint="eastAsia" w:ascii="仿宋" w:hAnsi="仿宋" w:eastAsia="仿宋" w:cs="仿宋"/>
                <w:color w:val="auto"/>
                <w:spacing w:val="-3"/>
                <w:sz w:val="21"/>
                <w:szCs w:val="21"/>
                <w:highlight w:val="none"/>
                <w:lang w:eastAsia="zh-CN"/>
              </w:rPr>
              <w:t>方案简陋、内容粗糙、描述清晰的得</w:t>
            </w:r>
            <w:r>
              <w:rPr>
                <w:rFonts w:hint="eastAsia" w:cs="仿宋"/>
                <w:color w:val="auto"/>
                <w:spacing w:val="-3"/>
                <w:sz w:val="21"/>
                <w:szCs w:val="21"/>
                <w:highlight w:val="none"/>
                <w:lang w:val="en-US" w:eastAsia="zh-CN"/>
              </w:rPr>
              <w:t>4</w:t>
            </w:r>
            <w:r>
              <w:rPr>
                <w:rFonts w:hint="eastAsia" w:ascii="仿宋" w:hAnsi="仿宋" w:eastAsia="仿宋" w:cs="仿宋"/>
                <w:color w:val="auto"/>
                <w:spacing w:val="-3"/>
                <w:sz w:val="21"/>
                <w:szCs w:val="21"/>
                <w:highlight w:val="none"/>
                <w:lang w:eastAsia="zh-CN"/>
              </w:rPr>
              <w:t>分；</w:t>
            </w:r>
          </w:p>
          <w:p w14:paraId="6F964984">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4、</w:t>
            </w:r>
            <w:r>
              <w:rPr>
                <w:rFonts w:hint="eastAsia" w:ascii="仿宋" w:hAnsi="仿宋" w:eastAsia="仿宋" w:cs="仿宋"/>
                <w:color w:val="auto"/>
                <w:spacing w:val="-3"/>
                <w:sz w:val="21"/>
                <w:szCs w:val="21"/>
                <w:highlight w:val="none"/>
                <w:lang w:eastAsia="zh-CN"/>
              </w:rPr>
              <w:t>方案较简陋、内容较粗糙、描述较清晰的得</w:t>
            </w:r>
            <w:r>
              <w:rPr>
                <w:rFonts w:hint="eastAsia" w:cs="仿宋"/>
                <w:color w:val="auto"/>
                <w:spacing w:val="-3"/>
                <w:sz w:val="21"/>
                <w:szCs w:val="21"/>
                <w:highlight w:val="none"/>
                <w:lang w:val="en-US" w:eastAsia="zh-CN"/>
              </w:rPr>
              <w:t>3</w:t>
            </w:r>
            <w:r>
              <w:rPr>
                <w:rFonts w:hint="eastAsia" w:ascii="仿宋" w:hAnsi="仿宋" w:eastAsia="仿宋" w:cs="仿宋"/>
                <w:color w:val="auto"/>
                <w:spacing w:val="-3"/>
                <w:sz w:val="21"/>
                <w:szCs w:val="21"/>
                <w:highlight w:val="none"/>
                <w:lang w:eastAsia="zh-CN"/>
              </w:rPr>
              <w:t>分；</w:t>
            </w:r>
          </w:p>
          <w:p w14:paraId="4C8D832E">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5、</w:t>
            </w:r>
            <w:r>
              <w:rPr>
                <w:rFonts w:hint="eastAsia" w:ascii="仿宋" w:hAnsi="仿宋" w:eastAsia="仿宋" w:cs="仿宋"/>
                <w:color w:val="auto"/>
                <w:spacing w:val="-3"/>
                <w:sz w:val="21"/>
                <w:szCs w:val="21"/>
                <w:highlight w:val="none"/>
                <w:lang w:eastAsia="zh-CN"/>
              </w:rPr>
              <w:t>方案</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简陋、内容</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粗糙、描述不清晰的得</w:t>
            </w:r>
            <w:r>
              <w:rPr>
                <w:rFonts w:hint="eastAsia" w:ascii="仿宋" w:hAnsi="仿宋" w:eastAsia="仿宋"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eastAsia="zh-CN"/>
              </w:rPr>
              <w:t>分；</w:t>
            </w:r>
          </w:p>
          <w:p w14:paraId="24AE14D4">
            <w:pPr>
              <w:pStyle w:val="31"/>
              <w:widowControl/>
              <w:kinsoku/>
              <w:topLinePunct w:val="0"/>
              <w:autoSpaceDE w:val="0"/>
              <w:autoSpaceDN w:val="0"/>
              <w:bidi w:val="0"/>
              <w:adjustRightInd w:val="0"/>
              <w:snapToGrid w:val="0"/>
              <w:spacing w:before="71" w:line="240" w:lineRule="auto"/>
              <w:ind w:left="124" w:right="283" w:firstLine="2"/>
              <w:rPr>
                <w:rFonts w:hint="eastAsia" w:ascii="宋体" w:hAnsi="宋体" w:eastAsia="宋体" w:cs="宋体"/>
                <w:color w:val="auto"/>
                <w:sz w:val="21"/>
                <w:szCs w:val="21"/>
                <w:highlight w:val="none"/>
                <w:lang w:val="en-US" w:eastAsia="zh-CN"/>
              </w:rPr>
            </w:pPr>
            <w:r>
              <w:rPr>
                <w:rFonts w:hint="eastAsia" w:cs="仿宋"/>
                <w:color w:val="auto"/>
                <w:spacing w:val="-3"/>
                <w:sz w:val="21"/>
                <w:szCs w:val="21"/>
                <w:highlight w:val="none"/>
                <w:lang w:val="en-US" w:eastAsia="zh-CN"/>
              </w:rPr>
              <w:t>6、</w:t>
            </w:r>
            <w:r>
              <w:rPr>
                <w:rFonts w:hint="eastAsia" w:ascii="仿宋" w:hAnsi="仿宋" w:eastAsia="仿宋" w:cs="仿宋"/>
                <w:color w:val="auto"/>
                <w:spacing w:val="-3"/>
                <w:sz w:val="21"/>
                <w:szCs w:val="21"/>
                <w:highlight w:val="none"/>
                <w:lang w:eastAsia="zh-CN"/>
              </w:rPr>
              <w:t>不提供服务方案不得分</w:t>
            </w:r>
            <w:r>
              <w:rPr>
                <w:rFonts w:hint="eastAsia" w:cs="仿宋"/>
                <w:color w:val="auto"/>
                <w:spacing w:val="-3"/>
                <w:sz w:val="21"/>
                <w:szCs w:val="21"/>
                <w:highlight w:val="none"/>
                <w:lang w:eastAsia="zh-CN"/>
              </w:rPr>
              <w:t>。</w:t>
            </w:r>
          </w:p>
        </w:tc>
        <w:tc>
          <w:tcPr>
            <w:tcW w:w="858" w:type="dxa"/>
            <w:vAlign w:val="center"/>
          </w:tcPr>
          <w:p w14:paraId="6EB25721">
            <w:pPr>
              <w:pStyle w:val="31"/>
              <w:widowControl/>
              <w:kinsoku/>
              <w:topLinePunct w:val="0"/>
              <w:autoSpaceDE w:val="0"/>
              <w:autoSpaceDN w:val="0"/>
              <w:bidi w:val="0"/>
              <w:adjustRightInd w:val="0"/>
              <w:snapToGrid w:val="0"/>
              <w:spacing w:line="223" w:lineRule="auto"/>
              <w:ind w:left="126"/>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0-</w:t>
            </w:r>
            <w:r>
              <w:rPr>
                <w:rFonts w:hint="eastAsia" w:cs="仿宋"/>
                <w:color w:val="auto"/>
                <w:spacing w:val="-3"/>
                <w:sz w:val="21"/>
                <w:szCs w:val="21"/>
                <w:highlight w:val="none"/>
                <w:lang w:val="en-US" w:eastAsia="zh-CN"/>
              </w:rPr>
              <w:t>8</w:t>
            </w:r>
            <w:r>
              <w:rPr>
                <w:rFonts w:hint="eastAsia" w:ascii="仿宋" w:hAnsi="仿宋" w:eastAsia="仿宋" w:cs="仿宋"/>
                <w:color w:val="auto"/>
                <w:spacing w:val="-3"/>
                <w:sz w:val="21"/>
                <w:szCs w:val="21"/>
                <w:highlight w:val="none"/>
                <w:lang w:eastAsia="zh-CN"/>
              </w:rPr>
              <w:t>分</w:t>
            </w:r>
          </w:p>
        </w:tc>
      </w:tr>
      <w:tr w14:paraId="26B4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82" w:type="dxa"/>
            <w:vMerge w:val="continue"/>
          </w:tcPr>
          <w:p w14:paraId="5D26DF0F">
            <w:pPr>
              <w:pStyle w:val="31"/>
              <w:widowControl/>
              <w:kinsoku/>
              <w:topLinePunct w:val="0"/>
              <w:autoSpaceDE w:val="0"/>
              <w:autoSpaceDN w:val="0"/>
              <w:bidi w:val="0"/>
              <w:adjustRightInd w:val="0"/>
              <w:snapToGrid w:val="0"/>
              <w:spacing w:before="78" w:line="180" w:lineRule="auto"/>
              <w:ind w:left="189"/>
              <w:rPr>
                <w:rFonts w:hint="eastAsia" w:ascii="仿宋" w:hAnsi="仿宋" w:eastAsia="仿宋" w:cs="仿宋"/>
                <w:color w:val="auto"/>
                <w:sz w:val="21"/>
                <w:szCs w:val="21"/>
                <w:highlight w:val="none"/>
              </w:rPr>
            </w:pPr>
          </w:p>
        </w:tc>
        <w:tc>
          <w:tcPr>
            <w:tcW w:w="1026" w:type="dxa"/>
            <w:vMerge w:val="continue"/>
          </w:tcPr>
          <w:p w14:paraId="06EB79FB">
            <w:pPr>
              <w:pStyle w:val="31"/>
              <w:widowControl/>
              <w:kinsoku/>
              <w:topLinePunct w:val="0"/>
              <w:autoSpaceDE w:val="0"/>
              <w:autoSpaceDN w:val="0"/>
              <w:bidi w:val="0"/>
              <w:adjustRightInd w:val="0"/>
              <w:snapToGrid w:val="0"/>
              <w:spacing w:before="78" w:line="234" w:lineRule="auto"/>
              <w:ind w:left="121" w:right="106" w:hanging="1"/>
              <w:jc w:val="both"/>
              <w:rPr>
                <w:rFonts w:hint="eastAsia" w:ascii="仿宋" w:hAnsi="仿宋" w:eastAsia="仿宋" w:cs="仿宋"/>
                <w:b w:val="0"/>
                <w:bCs w:val="0"/>
                <w:color w:val="auto"/>
                <w:sz w:val="21"/>
                <w:szCs w:val="21"/>
                <w:highlight w:val="none"/>
                <w:lang w:val="en-US" w:eastAsia="zh-CN"/>
              </w:rPr>
            </w:pPr>
          </w:p>
        </w:tc>
        <w:tc>
          <w:tcPr>
            <w:tcW w:w="1153" w:type="dxa"/>
            <w:shd w:val="clear" w:color="auto" w:fill="auto"/>
            <w:vAlign w:val="center"/>
          </w:tcPr>
          <w:p w14:paraId="7DBC80E9">
            <w:pPr>
              <w:pStyle w:val="9"/>
              <w:widowControl/>
              <w:numPr>
                <w:ilvl w:val="0"/>
                <w:numId w:val="0"/>
              </w:numPr>
              <w:kinsoku/>
              <w:topLinePunct w:val="0"/>
              <w:autoSpaceDE w:val="0"/>
              <w:autoSpaceDN w:val="0"/>
              <w:bidi w:val="0"/>
              <w:adjustRightInd w:val="0"/>
              <w:snapToGrid w:val="0"/>
              <w:spacing w:before="177" w:line="360" w:lineRule="auto"/>
              <w:ind w:left="0" w:leftChars="0" w:firstLine="0" w:firstLineChars="0"/>
              <w:rPr>
                <w:rFonts w:hint="eastAsia" w:ascii="仿宋" w:hAnsi="仿宋" w:eastAsia="仿宋" w:cs="仿宋"/>
                <w:snapToGrid w:val="0"/>
                <w:color w:val="auto"/>
                <w:spacing w:val="-2"/>
                <w:sz w:val="21"/>
                <w:szCs w:val="21"/>
                <w:highlight w:val="none"/>
                <w:lang w:val="en-US" w:eastAsia="zh-CN" w:bidi="ar-SA"/>
              </w:rPr>
            </w:pPr>
            <w:r>
              <w:rPr>
                <w:rFonts w:hint="eastAsia" w:cs="仿宋"/>
                <w:color w:val="auto"/>
                <w:spacing w:val="-2"/>
                <w:sz w:val="21"/>
                <w:szCs w:val="21"/>
                <w:highlight w:val="none"/>
                <w:lang w:val="en-US" w:eastAsia="zh-CN"/>
              </w:rPr>
              <w:t>服务</w:t>
            </w:r>
            <w:r>
              <w:rPr>
                <w:rFonts w:hint="eastAsia" w:ascii="仿宋" w:hAnsi="仿宋" w:eastAsia="仿宋" w:cs="仿宋"/>
                <w:color w:val="auto"/>
                <w:spacing w:val="-2"/>
                <w:sz w:val="21"/>
                <w:szCs w:val="21"/>
                <w:highlight w:val="none"/>
                <w:lang w:val="en-US" w:eastAsia="zh-CN"/>
              </w:rPr>
              <w:t>方案（</w:t>
            </w:r>
            <w:r>
              <w:rPr>
                <w:rFonts w:hint="eastAsia" w:cs="仿宋"/>
                <w:color w:val="auto"/>
                <w:spacing w:val="-2"/>
                <w:sz w:val="21"/>
                <w:szCs w:val="21"/>
                <w:highlight w:val="none"/>
                <w:lang w:val="en-US" w:eastAsia="zh-CN"/>
              </w:rPr>
              <w:t>7</w:t>
            </w:r>
            <w:r>
              <w:rPr>
                <w:rFonts w:hint="eastAsia" w:ascii="仿宋" w:hAnsi="仿宋" w:eastAsia="仿宋" w:cs="仿宋"/>
                <w:color w:val="auto"/>
                <w:spacing w:val="-2"/>
                <w:sz w:val="21"/>
                <w:szCs w:val="21"/>
                <w:highlight w:val="none"/>
                <w:lang w:val="en-US" w:eastAsia="zh-CN"/>
              </w:rPr>
              <w:t>分）</w:t>
            </w:r>
          </w:p>
        </w:tc>
        <w:tc>
          <w:tcPr>
            <w:tcW w:w="6191" w:type="dxa"/>
            <w:shd w:val="clear" w:color="auto" w:fill="auto"/>
            <w:vAlign w:val="top"/>
          </w:tcPr>
          <w:p w14:paraId="654E9434">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olor w:val="auto"/>
                <w:sz w:val="21"/>
                <w:szCs w:val="21"/>
                <w:highlight w:val="none"/>
                <w:lang w:eastAsia="zh-CN"/>
              </w:rPr>
              <w:t>评标委员会根据投标人提供的服务方案，包含但不限于食品安全自查制度、从业人员健康管理和培训考核制度、加工经营场所及设施设备清洁、消毒和</w:t>
            </w:r>
            <w:r>
              <w:rPr>
                <w:rFonts w:hint="eastAsia"/>
                <w:color w:val="auto"/>
                <w:sz w:val="21"/>
                <w:szCs w:val="21"/>
                <w:highlight w:val="none"/>
                <w:lang w:val="en-US" w:eastAsia="zh-CN"/>
              </w:rPr>
              <w:t>维护</w:t>
            </w:r>
            <w:r>
              <w:rPr>
                <w:rFonts w:hint="eastAsia"/>
                <w:color w:val="auto"/>
                <w:sz w:val="21"/>
                <w:szCs w:val="21"/>
                <w:highlight w:val="none"/>
                <w:lang w:eastAsia="zh-CN"/>
              </w:rPr>
              <w:t>保养制度、产品采购索证索票、进货查验和台账登记、食品留样制度及食品安全突发事件处置方案、经营管理关键绩效指标管控方案进行综合评分</w:t>
            </w:r>
            <w:r>
              <w:rPr>
                <w:rFonts w:hint="eastAsia" w:ascii="仿宋" w:hAnsi="仿宋" w:eastAsia="仿宋" w:cs="仿宋"/>
                <w:color w:val="auto"/>
                <w:spacing w:val="-3"/>
                <w:sz w:val="21"/>
                <w:szCs w:val="21"/>
                <w:highlight w:val="none"/>
                <w:lang w:eastAsia="zh-CN"/>
              </w:rPr>
              <w:t xml:space="preserve">： </w:t>
            </w:r>
          </w:p>
          <w:p w14:paraId="1C011F83">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eastAsia="zh-CN"/>
              </w:rPr>
              <w:t>方案详细、内容完善、描述</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清晰的得</w:t>
            </w:r>
            <w:r>
              <w:rPr>
                <w:rFonts w:hint="eastAsia" w:cs="仿宋"/>
                <w:color w:val="auto"/>
                <w:spacing w:val="-3"/>
                <w:sz w:val="21"/>
                <w:szCs w:val="21"/>
                <w:highlight w:val="none"/>
                <w:lang w:val="en-US" w:eastAsia="zh-CN"/>
              </w:rPr>
              <w:t>7</w:t>
            </w:r>
            <w:r>
              <w:rPr>
                <w:rFonts w:hint="eastAsia" w:ascii="仿宋" w:hAnsi="仿宋" w:eastAsia="仿宋" w:cs="仿宋"/>
                <w:color w:val="auto"/>
                <w:spacing w:val="-3"/>
                <w:sz w:val="21"/>
                <w:szCs w:val="21"/>
                <w:highlight w:val="none"/>
                <w:lang w:eastAsia="zh-CN"/>
              </w:rPr>
              <w:t xml:space="preserve">分； </w:t>
            </w:r>
          </w:p>
          <w:p w14:paraId="5F46398F">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2、</w:t>
            </w:r>
            <w:r>
              <w:rPr>
                <w:rFonts w:hint="eastAsia" w:ascii="仿宋" w:hAnsi="仿宋" w:eastAsia="仿宋" w:cs="仿宋"/>
                <w:color w:val="auto"/>
                <w:spacing w:val="-3"/>
                <w:sz w:val="21"/>
                <w:szCs w:val="21"/>
                <w:highlight w:val="none"/>
                <w:lang w:eastAsia="zh-CN"/>
              </w:rPr>
              <w:t>方案较详细、内容较完善、描述较清晰的得</w:t>
            </w:r>
            <w:r>
              <w:rPr>
                <w:rFonts w:hint="eastAsia" w:cs="仿宋"/>
                <w:color w:val="auto"/>
                <w:spacing w:val="-3"/>
                <w:sz w:val="21"/>
                <w:szCs w:val="21"/>
                <w:highlight w:val="none"/>
                <w:lang w:val="en-US" w:eastAsia="zh-CN"/>
              </w:rPr>
              <w:t>5</w:t>
            </w:r>
            <w:r>
              <w:rPr>
                <w:rFonts w:hint="eastAsia" w:ascii="仿宋" w:hAnsi="仿宋" w:eastAsia="仿宋" w:cs="仿宋"/>
                <w:color w:val="auto"/>
                <w:spacing w:val="-3"/>
                <w:sz w:val="21"/>
                <w:szCs w:val="21"/>
                <w:highlight w:val="none"/>
                <w:lang w:eastAsia="zh-CN"/>
              </w:rPr>
              <w:t>分；</w:t>
            </w:r>
          </w:p>
          <w:p w14:paraId="55A0D216">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3、</w:t>
            </w:r>
            <w:r>
              <w:rPr>
                <w:rFonts w:hint="eastAsia" w:ascii="仿宋" w:hAnsi="仿宋" w:eastAsia="仿宋" w:cs="仿宋"/>
                <w:color w:val="auto"/>
                <w:spacing w:val="-3"/>
                <w:sz w:val="21"/>
                <w:szCs w:val="21"/>
                <w:highlight w:val="none"/>
                <w:lang w:eastAsia="zh-CN"/>
              </w:rPr>
              <w:t>方案简陋、内容粗糙、描述清晰的得</w:t>
            </w:r>
            <w:r>
              <w:rPr>
                <w:rFonts w:hint="eastAsia" w:cs="仿宋"/>
                <w:color w:val="auto"/>
                <w:spacing w:val="-3"/>
                <w:sz w:val="21"/>
                <w:szCs w:val="21"/>
                <w:highlight w:val="none"/>
                <w:lang w:val="en-US" w:eastAsia="zh-CN"/>
              </w:rPr>
              <w:t>3</w:t>
            </w:r>
            <w:r>
              <w:rPr>
                <w:rFonts w:hint="eastAsia" w:ascii="仿宋" w:hAnsi="仿宋" w:eastAsia="仿宋" w:cs="仿宋"/>
                <w:color w:val="auto"/>
                <w:spacing w:val="-3"/>
                <w:sz w:val="21"/>
                <w:szCs w:val="21"/>
                <w:highlight w:val="none"/>
                <w:lang w:eastAsia="zh-CN"/>
              </w:rPr>
              <w:t>分；</w:t>
            </w:r>
          </w:p>
          <w:p w14:paraId="61E7EA56">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4、</w:t>
            </w:r>
            <w:r>
              <w:rPr>
                <w:rFonts w:hint="eastAsia" w:ascii="仿宋" w:hAnsi="仿宋" w:eastAsia="仿宋" w:cs="仿宋"/>
                <w:color w:val="auto"/>
                <w:spacing w:val="-3"/>
                <w:sz w:val="21"/>
                <w:szCs w:val="21"/>
                <w:highlight w:val="none"/>
                <w:lang w:eastAsia="zh-CN"/>
              </w:rPr>
              <w:t>方案较简陋、内容较粗糙、描述较清晰的得</w:t>
            </w:r>
            <w:r>
              <w:rPr>
                <w:rFonts w:hint="eastAsia" w:cs="仿宋"/>
                <w:color w:val="auto"/>
                <w:spacing w:val="-3"/>
                <w:sz w:val="21"/>
                <w:szCs w:val="21"/>
                <w:highlight w:val="none"/>
                <w:lang w:val="en-US" w:eastAsia="zh-CN"/>
              </w:rPr>
              <w:t>2</w:t>
            </w:r>
            <w:r>
              <w:rPr>
                <w:rFonts w:hint="eastAsia" w:ascii="仿宋" w:hAnsi="仿宋" w:eastAsia="仿宋" w:cs="仿宋"/>
                <w:color w:val="auto"/>
                <w:spacing w:val="-3"/>
                <w:sz w:val="21"/>
                <w:szCs w:val="21"/>
                <w:highlight w:val="none"/>
                <w:lang w:eastAsia="zh-CN"/>
              </w:rPr>
              <w:t>分；</w:t>
            </w:r>
          </w:p>
          <w:p w14:paraId="12CAD937">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r>
              <w:rPr>
                <w:rFonts w:hint="eastAsia" w:cs="仿宋"/>
                <w:color w:val="auto"/>
                <w:spacing w:val="-3"/>
                <w:sz w:val="21"/>
                <w:szCs w:val="21"/>
                <w:highlight w:val="none"/>
                <w:lang w:val="en-US" w:eastAsia="zh-CN"/>
              </w:rPr>
              <w:t>5、</w:t>
            </w:r>
            <w:r>
              <w:rPr>
                <w:rFonts w:hint="eastAsia" w:ascii="仿宋" w:hAnsi="仿宋" w:eastAsia="仿宋" w:cs="仿宋"/>
                <w:color w:val="auto"/>
                <w:spacing w:val="-3"/>
                <w:sz w:val="21"/>
                <w:szCs w:val="21"/>
                <w:highlight w:val="none"/>
                <w:lang w:eastAsia="zh-CN"/>
              </w:rPr>
              <w:t>方案</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简陋、内容</w:t>
            </w:r>
            <w:r>
              <w:rPr>
                <w:rFonts w:hint="eastAsia" w:cs="仿宋"/>
                <w:color w:val="auto"/>
                <w:spacing w:val="-3"/>
                <w:sz w:val="21"/>
                <w:szCs w:val="21"/>
                <w:highlight w:val="none"/>
                <w:lang w:val="en-US" w:eastAsia="zh-CN"/>
              </w:rPr>
              <w:t>特别</w:t>
            </w:r>
            <w:r>
              <w:rPr>
                <w:rFonts w:hint="eastAsia" w:ascii="仿宋" w:hAnsi="仿宋" w:eastAsia="仿宋" w:cs="仿宋"/>
                <w:color w:val="auto"/>
                <w:spacing w:val="-3"/>
                <w:sz w:val="21"/>
                <w:szCs w:val="21"/>
                <w:highlight w:val="none"/>
                <w:lang w:eastAsia="zh-CN"/>
              </w:rPr>
              <w:t>粗糙、描述不清晰的得</w:t>
            </w:r>
            <w:r>
              <w:rPr>
                <w:rFonts w:hint="eastAsia" w:ascii="仿宋" w:hAnsi="仿宋" w:eastAsia="仿宋" w:cs="仿宋"/>
                <w:color w:val="auto"/>
                <w:spacing w:val="-3"/>
                <w:sz w:val="21"/>
                <w:szCs w:val="21"/>
                <w:highlight w:val="none"/>
                <w:lang w:val="en-US" w:eastAsia="zh-CN"/>
              </w:rPr>
              <w:t>1</w:t>
            </w:r>
            <w:r>
              <w:rPr>
                <w:rFonts w:hint="eastAsia" w:ascii="仿宋" w:hAnsi="仿宋" w:eastAsia="仿宋" w:cs="仿宋"/>
                <w:color w:val="auto"/>
                <w:spacing w:val="-3"/>
                <w:sz w:val="21"/>
                <w:szCs w:val="21"/>
                <w:highlight w:val="none"/>
                <w:lang w:eastAsia="zh-CN"/>
              </w:rPr>
              <w:t>分；</w:t>
            </w:r>
          </w:p>
          <w:p w14:paraId="131A0A84">
            <w:pPr>
              <w:pStyle w:val="31"/>
              <w:widowControl/>
              <w:kinsoku/>
              <w:topLinePunct w:val="0"/>
              <w:autoSpaceDE w:val="0"/>
              <w:autoSpaceDN w:val="0"/>
              <w:bidi w:val="0"/>
              <w:adjustRightInd w:val="0"/>
              <w:snapToGrid w:val="0"/>
              <w:spacing w:before="71" w:line="240" w:lineRule="auto"/>
              <w:ind w:left="124" w:leftChars="0" w:right="283" w:rightChars="0" w:firstLine="2" w:firstLineChars="0"/>
              <w:rPr>
                <w:rFonts w:hint="eastAsia" w:ascii="仿宋" w:hAnsi="仿宋" w:eastAsia="仿宋" w:cs="仿宋"/>
                <w:snapToGrid w:val="0"/>
                <w:color w:val="auto"/>
                <w:spacing w:val="-2"/>
                <w:sz w:val="21"/>
                <w:szCs w:val="21"/>
                <w:highlight w:val="none"/>
                <w:lang w:val="en-US" w:eastAsia="zh-CN" w:bidi="ar-SA"/>
              </w:rPr>
            </w:pPr>
            <w:r>
              <w:rPr>
                <w:rFonts w:hint="eastAsia" w:cs="仿宋"/>
                <w:color w:val="auto"/>
                <w:spacing w:val="-3"/>
                <w:sz w:val="21"/>
                <w:szCs w:val="21"/>
                <w:highlight w:val="none"/>
                <w:lang w:val="en-US" w:eastAsia="zh-CN"/>
              </w:rPr>
              <w:t>6、</w:t>
            </w:r>
            <w:r>
              <w:rPr>
                <w:rFonts w:hint="eastAsia" w:ascii="仿宋" w:hAnsi="仿宋" w:eastAsia="仿宋" w:cs="仿宋"/>
                <w:color w:val="auto"/>
                <w:spacing w:val="-3"/>
                <w:sz w:val="21"/>
                <w:szCs w:val="21"/>
                <w:highlight w:val="none"/>
                <w:lang w:eastAsia="zh-CN"/>
              </w:rPr>
              <w:t>不提供服务方案不得分</w:t>
            </w:r>
            <w:r>
              <w:rPr>
                <w:rFonts w:hint="eastAsia" w:cs="仿宋"/>
                <w:color w:val="auto"/>
                <w:spacing w:val="-3"/>
                <w:sz w:val="21"/>
                <w:szCs w:val="21"/>
                <w:highlight w:val="none"/>
                <w:lang w:eastAsia="zh-CN"/>
              </w:rPr>
              <w:t>。</w:t>
            </w:r>
          </w:p>
        </w:tc>
        <w:tc>
          <w:tcPr>
            <w:tcW w:w="858" w:type="dxa"/>
            <w:vAlign w:val="center"/>
          </w:tcPr>
          <w:p w14:paraId="50D5BE8C">
            <w:pPr>
              <w:pStyle w:val="31"/>
              <w:widowControl/>
              <w:kinsoku/>
              <w:topLinePunct w:val="0"/>
              <w:autoSpaceDE w:val="0"/>
              <w:autoSpaceDN w:val="0"/>
              <w:bidi w:val="0"/>
              <w:adjustRightInd w:val="0"/>
              <w:snapToGrid w:val="0"/>
              <w:spacing w:line="223" w:lineRule="auto"/>
              <w:ind w:left="126"/>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0-</w:t>
            </w:r>
            <w:r>
              <w:rPr>
                <w:rFonts w:hint="eastAsia" w:cs="仿宋"/>
                <w:color w:val="auto"/>
                <w:spacing w:val="-3"/>
                <w:sz w:val="21"/>
                <w:szCs w:val="21"/>
                <w:highlight w:val="none"/>
                <w:lang w:val="en-US" w:eastAsia="zh-CN"/>
              </w:rPr>
              <w:t>7</w:t>
            </w:r>
            <w:r>
              <w:rPr>
                <w:rFonts w:hint="eastAsia" w:ascii="仿宋" w:hAnsi="仿宋" w:eastAsia="仿宋" w:cs="仿宋"/>
                <w:color w:val="auto"/>
                <w:spacing w:val="-3"/>
                <w:sz w:val="21"/>
                <w:szCs w:val="21"/>
                <w:highlight w:val="none"/>
                <w:lang w:eastAsia="zh-CN"/>
              </w:rPr>
              <w:t>分</w:t>
            </w:r>
          </w:p>
        </w:tc>
      </w:tr>
      <w:tr w14:paraId="790DE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482" w:type="dxa"/>
            <w:vMerge w:val="restart"/>
          </w:tcPr>
          <w:p w14:paraId="1613C5A7">
            <w:pPr>
              <w:widowControl/>
              <w:kinsoku/>
              <w:topLinePunct w:val="0"/>
              <w:autoSpaceDE w:val="0"/>
              <w:autoSpaceDN w:val="0"/>
              <w:bidi w:val="0"/>
              <w:adjustRightInd w:val="0"/>
              <w:snapToGrid w:val="0"/>
              <w:spacing w:line="242" w:lineRule="auto"/>
              <w:rPr>
                <w:rFonts w:hint="eastAsia" w:ascii="仿宋" w:hAnsi="仿宋" w:eastAsia="仿宋" w:cs="仿宋"/>
                <w:color w:val="auto"/>
                <w:sz w:val="21"/>
                <w:szCs w:val="21"/>
                <w:highlight w:val="none"/>
              </w:rPr>
            </w:pPr>
          </w:p>
          <w:p w14:paraId="14F28B83">
            <w:pPr>
              <w:widowControl/>
              <w:kinsoku/>
              <w:topLinePunct w:val="0"/>
              <w:autoSpaceDE w:val="0"/>
              <w:autoSpaceDN w:val="0"/>
              <w:bidi w:val="0"/>
              <w:adjustRightInd w:val="0"/>
              <w:snapToGrid w:val="0"/>
              <w:spacing w:line="242" w:lineRule="auto"/>
              <w:rPr>
                <w:rFonts w:hint="eastAsia" w:ascii="仿宋" w:hAnsi="仿宋" w:eastAsia="仿宋" w:cs="仿宋"/>
                <w:color w:val="auto"/>
                <w:sz w:val="21"/>
                <w:szCs w:val="21"/>
                <w:highlight w:val="none"/>
              </w:rPr>
            </w:pPr>
          </w:p>
          <w:p w14:paraId="75A50E36">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p>
          <w:p w14:paraId="3488EC21">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26" w:type="dxa"/>
            <w:vMerge w:val="restart"/>
            <w:vAlign w:val="center"/>
          </w:tcPr>
          <w:p w14:paraId="067F931E">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p w14:paraId="2FE84B41">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p w14:paraId="3BE29649">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21"/>
                <w:sz w:val="21"/>
                <w:szCs w:val="21"/>
                <w:highlight w:val="none"/>
              </w:rPr>
              <w:t>商务部</w:t>
            </w:r>
            <w:r>
              <w:rPr>
                <w:rFonts w:hint="eastAsia" w:ascii="仿宋" w:hAnsi="仿宋" w:eastAsia="仿宋" w:cs="仿宋"/>
                <w:b w:val="0"/>
                <w:bCs w:val="0"/>
                <w:color w:val="auto"/>
                <w:spacing w:val="17"/>
                <w:sz w:val="21"/>
                <w:szCs w:val="21"/>
                <w:highlight w:val="none"/>
              </w:rPr>
              <w:t>分</w:t>
            </w:r>
            <w:r>
              <w:rPr>
                <w:rFonts w:hint="eastAsia" w:ascii="仿宋" w:hAnsi="仿宋" w:eastAsia="仿宋" w:cs="仿宋"/>
                <w:b w:val="0"/>
                <w:bCs w:val="0"/>
                <w:color w:val="auto"/>
                <w:spacing w:val="17"/>
                <w:sz w:val="21"/>
                <w:szCs w:val="21"/>
                <w:highlight w:val="none"/>
                <w:lang w:eastAsia="zh-CN"/>
              </w:rPr>
              <w:t>（</w:t>
            </w:r>
            <w:r>
              <w:rPr>
                <w:rFonts w:hint="eastAsia" w:ascii="仿宋" w:hAnsi="仿宋" w:eastAsia="仿宋" w:cs="仿宋"/>
                <w:b w:val="0"/>
                <w:bCs w:val="0"/>
                <w:color w:val="auto"/>
                <w:spacing w:val="17"/>
                <w:sz w:val="21"/>
                <w:szCs w:val="21"/>
                <w:highlight w:val="none"/>
                <w:lang w:val="en-US" w:eastAsia="zh-CN"/>
              </w:rPr>
              <w:t>75</w:t>
            </w:r>
            <w:r>
              <w:rPr>
                <w:rFonts w:hint="eastAsia" w:ascii="仿宋" w:hAnsi="仿宋" w:eastAsia="仿宋" w:cs="仿宋"/>
                <w:b w:val="0"/>
                <w:bCs w:val="0"/>
                <w:color w:val="auto"/>
                <w:spacing w:val="-10"/>
                <w:sz w:val="21"/>
                <w:szCs w:val="21"/>
                <w:highlight w:val="none"/>
              </w:rPr>
              <w:t>分</w:t>
            </w:r>
            <w:r>
              <w:rPr>
                <w:rFonts w:hint="eastAsia" w:ascii="仿宋" w:hAnsi="仿宋" w:eastAsia="仿宋" w:cs="仿宋"/>
                <w:b w:val="0"/>
                <w:bCs w:val="0"/>
                <w:color w:val="auto"/>
                <w:spacing w:val="17"/>
                <w:sz w:val="21"/>
                <w:szCs w:val="21"/>
                <w:highlight w:val="none"/>
                <w:lang w:eastAsia="zh-CN"/>
              </w:rPr>
              <w:t>）</w:t>
            </w:r>
          </w:p>
        </w:tc>
        <w:tc>
          <w:tcPr>
            <w:tcW w:w="1153" w:type="dxa"/>
            <w:tcBorders>
              <w:bottom w:val="single" w:color="000000" w:sz="2" w:space="0"/>
            </w:tcBorders>
            <w:shd w:val="clear" w:color="000000" w:fill="FFFFFF"/>
            <w:vAlign w:val="center"/>
          </w:tcPr>
          <w:p w14:paraId="53396328">
            <w:pPr>
              <w:pStyle w:val="31"/>
              <w:spacing w:before="71"/>
              <w:ind w:left="124" w:leftChars="0" w:right="283" w:rightChars="0" w:firstLine="2" w:firstLineChars="0"/>
              <w:jc w:val="both"/>
              <w:rPr>
                <w:rFonts w:hint="eastAsia" w:ascii="仿宋" w:hAnsi="仿宋" w:eastAsia="仿宋" w:cs="仿宋"/>
                <w:snapToGrid w:val="0"/>
                <w:color w:val="auto"/>
                <w:spacing w:val="-3"/>
                <w:sz w:val="21"/>
                <w:szCs w:val="21"/>
                <w:highlight w:val="none"/>
                <w:lang w:val="en-US" w:eastAsia="en-US" w:bidi="ar-SA"/>
              </w:rPr>
            </w:pPr>
            <w:r>
              <w:rPr>
                <w:rFonts w:hint="eastAsia"/>
                <w:color w:val="auto"/>
                <w:spacing w:val="-3"/>
                <w:sz w:val="21"/>
                <w:szCs w:val="21"/>
                <w:highlight w:val="none"/>
                <w:lang w:eastAsia="zh-CN"/>
              </w:rPr>
              <w:t>技术响应（</w:t>
            </w:r>
            <w:r>
              <w:rPr>
                <w:rFonts w:hint="eastAsia"/>
                <w:color w:val="auto"/>
                <w:spacing w:val="-3"/>
                <w:sz w:val="21"/>
                <w:szCs w:val="21"/>
                <w:highlight w:val="none"/>
                <w:lang w:val="en-US" w:eastAsia="zh-CN"/>
              </w:rPr>
              <w:t>24</w:t>
            </w:r>
            <w:r>
              <w:rPr>
                <w:rFonts w:hint="eastAsia"/>
                <w:color w:val="auto"/>
                <w:spacing w:val="-3"/>
                <w:sz w:val="21"/>
                <w:szCs w:val="21"/>
                <w:highlight w:val="none"/>
                <w:lang w:eastAsia="zh-CN"/>
              </w:rPr>
              <w:t>分）</w:t>
            </w:r>
          </w:p>
        </w:tc>
        <w:tc>
          <w:tcPr>
            <w:tcW w:w="6191" w:type="dxa"/>
            <w:tcBorders>
              <w:bottom w:val="single" w:color="000000" w:sz="2" w:space="0"/>
            </w:tcBorders>
            <w:shd w:val="clear" w:color="000000" w:fill="FFFFFF"/>
            <w:vAlign w:val="center"/>
          </w:tcPr>
          <w:p w14:paraId="0E314AA5">
            <w:pPr>
              <w:keepNext w:val="0"/>
              <w:keepLines w:val="0"/>
              <w:widowControl/>
              <w:suppressLineNumbers w:val="0"/>
              <w:jc w:val="left"/>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对采购文件中“技术要求”内容，按响应文件格式“技术偏离表”进行响应。依据各供应商响应情况，全部满足参数要求得满分24分，每负偏离一条参数，扣2分，扣完为止。</w:t>
            </w:r>
          </w:p>
        </w:tc>
        <w:tc>
          <w:tcPr>
            <w:tcW w:w="858" w:type="dxa"/>
            <w:shd w:val="clear" w:color="auto" w:fill="auto"/>
            <w:vAlign w:val="center"/>
          </w:tcPr>
          <w:p w14:paraId="7B2701E8">
            <w:pPr>
              <w:pStyle w:val="31"/>
              <w:spacing w:before="78" w:line="206" w:lineRule="auto"/>
              <w:ind w:firstLine="204" w:firstLineChars="100"/>
              <w:jc w:val="center"/>
              <w:rPr>
                <w:rFonts w:hint="eastAsia" w:ascii="仿宋" w:hAnsi="仿宋" w:eastAsia="仿宋" w:cs="仿宋"/>
                <w:snapToGrid w:val="0"/>
                <w:color w:val="auto"/>
                <w:spacing w:val="-3"/>
                <w:sz w:val="21"/>
                <w:szCs w:val="21"/>
                <w:highlight w:val="none"/>
                <w:lang w:val="en-US" w:eastAsia="zh-CN" w:bidi="ar-SA"/>
              </w:rPr>
            </w:pPr>
            <w:r>
              <w:rPr>
                <w:rFonts w:hint="eastAsia"/>
                <w:color w:val="auto"/>
                <w:spacing w:val="-3"/>
                <w:sz w:val="21"/>
                <w:szCs w:val="21"/>
                <w:highlight w:val="none"/>
              </w:rPr>
              <w:t>0-</w:t>
            </w:r>
            <w:r>
              <w:rPr>
                <w:rFonts w:hint="eastAsia"/>
                <w:color w:val="auto"/>
                <w:spacing w:val="-3"/>
                <w:sz w:val="21"/>
                <w:szCs w:val="21"/>
                <w:highlight w:val="none"/>
                <w:lang w:val="en-US" w:eastAsia="zh-CN"/>
              </w:rPr>
              <w:t>24</w:t>
            </w:r>
            <w:r>
              <w:rPr>
                <w:rFonts w:hint="eastAsia"/>
                <w:color w:val="auto"/>
                <w:sz w:val="21"/>
                <w:szCs w:val="21"/>
                <w:highlight w:val="none"/>
              </w:rPr>
              <w:t>分</w:t>
            </w:r>
          </w:p>
        </w:tc>
      </w:tr>
      <w:tr w14:paraId="5B84A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82" w:type="dxa"/>
            <w:vMerge w:val="continue"/>
          </w:tcPr>
          <w:p w14:paraId="64ADC35B">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p>
        </w:tc>
        <w:tc>
          <w:tcPr>
            <w:tcW w:w="1026" w:type="dxa"/>
            <w:vMerge w:val="continue"/>
          </w:tcPr>
          <w:p w14:paraId="31E07EA2">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tc>
        <w:tc>
          <w:tcPr>
            <w:tcW w:w="1153" w:type="dxa"/>
            <w:tcBorders>
              <w:bottom w:val="single" w:color="000000" w:sz="2" w:space="0"/>
            </w:tcBorders>
            <w:shd w:val="clear" w:color="auto" w:fill="auto"/>
            <w:vAlign w:val="top"/>
          </w:tcPr>
          <w:p w14:paraId="3C357CD6">
            <w:pPr>
              <w:pStyle w:val="31"/>
              <w:widowControl/>
              <w:kinsoku/>
              <w:topLinePunct w:val="0"/>
              <w:autoSpaceDE w:val="0"/>
              <w:autoSpaceDN w:val="0"/>
              <w:bidi w:val="0"/>
              <w:adjustRightInd w:val="0"/>
              <w:snapToGrid w:val="0"/>
              <w:spacing w:before="209" w:line="228" w:lineRule="auto"/>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color w:val="auto"/>
                <w:spacing w:val="8"/>
                <w:sz w:val="21"/>
                <w:szCs w:val="21"/>
                <w:highlight w:val="none"/>
              </w:rPr>
              <w:t>投标供应商业绩</w:t>
            </w:r>
            <w:r>
              <w:rPr>
                <w:rFonts w:hint="eastAsia" w:ascii="仿宋" w:hAnsi="仿宋" w:eastAsia="仿宋" w:cs="仿宋"/>
                <w:color w:val="auto"/>
                <w:spacing w:val="-1"/>
                <w:sz w:val="21"/>
                <w:szCs w:val="21"/>
                <w:highlight w:val="none"/>
              </w:rPr>
              <w:t>（</w:t>
            </w:r>
            <w:r>
              <w:rPr>
                <w:rFonts w:hint="eastAsia"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rPr>
              <w:t>分）</w:t>
            </w:r>
          </w:p>
        </w:tc>
        <w:tc>
          <w:tcPr>
            <w:tcW w:w="6191" w:type="dxa"/>
            <w:tcBorders>
              <w:bottom w:val="single" w:color="000000" w:sz="2" w:space="0"/>
            </w:tcBorders>
            <w:shd w:val="clear" w:color="auto" w:fill="auto"/>
            <w:vAlign w:val="top"/>
          </w:tcPr>
          <w:p w14:paraId="3852D436">
            <w:pPr>
              <w:keepNext w:val="0"/>
              <w:keepLines w:val="0"/>
              <w:widowControl/>
              <w:suppressLineNumbers w:val="0"/>
              <w:jc w:val="left"/>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snapToGrid w:val="0"/>
                <w:color w:val="auto"/>
                <w:sz w:val="21"/>
                <w:szCs w:val="21"/>
                <w:highlight w:val="none"/>
                <w:lang w:val="en-US" w:eastAsia="en-US" w:bidi="ar-SA"/>
              </w:rPr>
              <w:t>提供202</w:t>
            </w:r>
            <w:r>
              <w:rPr>
                <w:rFonts w:hint="eastAsia" w:ascii="仿宋" w:hAnsi="仿宋" w:eastAsia="仿宋" w:cs="仿宋"/>
                <w:snapToGrid w:val="0"/>
                <w:color w:val="auto"/>
                <w:sz w:val="21"/>
                <w:szCs w:val="21"/>
                <w:highlight w:val="none"/>
                <w:lang w:val="en-US" w:eastAsia="zh-CN" w:bidi="ar-SA"/>
              </w:rPr>
              <w:t>2</w:t>
            </w:r>
            <w:r>
              <w:rPr>
                <w:rFonts w:hint="eastAsia" w:ascii="仿宋" w:hAnsi="仿宋" w:eastAsia="仿宋" w:cs="仿宋"/>
                <w:snapToGrid w:val="0"/>
                <w:color w:val="auto"/>
                <w:sz w:val="21"/>
                <w:szCs w:val="21"/>
                <w:highlight w:val="none"/>
                <w:lang w:val="en-US" w:eastAsia="en-US" w:bidi="ar-SA"/>
              </w:rPr>
              <w:t>年1月至今</w:t>
            </w:r>
            <w:r>
              <w:rPr>
                <w:rFonts w:hint="eastAsia" w:ascii="仿宋" w:hAnsi="仿宋" w:eastAsia="仿宋" w:cs="仿宋"/>
                <w:snapToGrid w:val="0"/>
                <w:color w:val="auto"/>
                <w:sz w:val="21"/>
                <w:szCs w:val="21"/>
                <w:highlight w:val="none"/>
                <w:lang w:val="en-US" w:eastAsia="zh-CN" w:bidi="ar-SA"/>
              </w:rPr>
              <w:t>已完成的类似</w:t>
            </w:r>
            <w:r>
              <w:rPr>
                <w:rFonts w:hint="eastAsia" w:ascii="仿宋" w:hAnsi="仿宋" w:eastAsia="仿宋" w:cs="仿宋"/>
                <w:snapToGrid w:val="0"/>
                <w:color w:val="auto"/>
                <w:sz w:val="21"/>
                <w:szCs w:val="21"/>
                <w:highlight w:val="none"/>
                <w:lang w:val="en-US" w:eastAsia="en-US" w:bidi="ar-SA"/>
              </w:rPr>
              <w:t>服务业绩，每提供一个得</w:t>
            </w:r>
            <w:r>
              <w:rPr>
                <w:rFonts w:hint="eastAsia" w:ascii="仿宋" w:hAnsi="仿宋" w:eastAsia="仿宋" w:cs="仿宋"/>
                <w:snapToGrid w:val="0"/>
                <w:color w:val="auto"/>
                <w:sz w:val="21"/>
                <w:szCs w:val="21"/>
                <w:highlight w:val="none"/>
                <w:lang w:val="en-US" w:eastAsia="zh-CN" w:bidi="ar-SA"/>
              </w:rPr>
              <w:t>5</w:t>
            </w:r>
            <w:r>
              <w:rPr>
                <w:rFonts w:hint="eastAsia" w:ascii="仿宋" w:hAnsi="仿宋" w:eastAsia="仿宋" w:cs="仿宋"/>
                <w:snapToGrid w:val="0"/>
                <w:color w:val="auto"/>
                <w:sz w:val="21"/>
                <w:szCs w:val="21"/>
                <w:highlight w:val="none"/>
                <w:lang w:val="en-US" w:eastAsia="en-US" w:bidi="ar-SA"/>
              </w:rPr>
              <w:t xml:space="preserve">分，最高得 </w:t>
            </w:r>
            <w:r>
              <w:rPr>
                <w:rFonts w:hint="eastAsia" w:ascii="仿宋" w:hAnsi="仿宋" w:eastAsia="仿宋" w:cs="仿宋"/>
                <w:snapToGrid w:val="0"/>
                <w:color w:val="auto"/>
                <w:sz w:val="21"/>
                <w:szCs w:val="21"/>
                <w:highlight w:val="none"/>
                <w:lang w:val="en-US" w:eastAsia="zh-CN" w:bidi="ar-SA"/>
              </w:rPr>
              <w:t>10</w:t>
            </w:r>
            <w:r>
              <w:rPr>
                <w:rFonts w:hint="eastAsia" w:ascii="仿宋" w:hAnsi="仿宋" w:eastAsia="仿宋" w:cs="仿宋"/>
                <w:snapToGrid w:val="0"/>
                <w:color w:val="auto"/>
                <w:sz w:val="21"/>
                <w:szCs w:val="21"/>
                <w:highlight w:val="none"/>
                <w:lang w:val="en-US" w:eastAsia="en-US" w:bidi="ar-SA"/>
              </w:rPr>
              <w:t>分。</w:t>
            </w:r>
          </w:p>
          <w:p w14:paraId="0AD6FFF1">
            <w:pPr>
              <w:keepNext w:val="0"/>
              <w:keepLines w:val="0"/>
              <w:widowControl/>
              <w:suppressLineNumbers w:val="0"/>
              <w:jc w:val="left"/>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b/>
                <w:bCs/>
                <w:snapToGrid w:val="0"/>
                <w:color w:val="auto"/>
                <w:sz w:val="21"/>
                <w:szCs w:val="21"/>
                <w:highlight w:val="none"/>
                <w:lang w:val="en-US" w:eastAsia="zh-CN" w:bidi="ar-SA"/>
              </w:rPr>
              <w:t>注：需提供合同或中标通知书复印件加盖公章。</w:t>
            </w:r>
          </w:p>
        </w:tc>
        <w:tc>
          <w:tcPr>
            <w:tcW w:w="858" w:type="dxa"/>
            <w:vAlign w:val="center"/>
          </w:tcPr>
          <w:p w14:paraId="4AF069BB">
            <w:pPr>
              <w:pStyle w:val="31"/>
              <w:widowControl/>
              <w:kinsoku/>
              <w:topLinePunct w:val="0"/>
              <w:autoSpaceDE w:val="0"/>
              <w:autoSpaceDN w:val="0"/>
              <w:bidi w:val="0"/>
              <w:adjustRightInd w:val="0"/>
              <w:snapToGrid w:val="0"/>
              <w:spacing w:before="78" w:line="206" w:lineRule="auto"/>
              <w:ind w:firstLine="204" w:firstLineChars="100"/>
              <w:jc w:val="center"/>
              <w:rPr>
                <w:rFonts w:hint="eastAsia" w:cs="仿宋"/>
                <w:color w:val="auto"/>
                <w:spacing w:val="-3"/>
                <w:sz w:val="21"/>
                <w:szCs w:val="21"/>
                <w:highlight w:val="none"/>
                <w:lang w:val="en-US" w:eastAsia="zh-CN"/>
              </w:rPr>
            </w:pPr>
            <w:r>
              <w:rPr>
                <w:rFonts w:hint="eastAsia"/>
                <w:color w:val="auto"/>
                <w:spacing w:val="-3"/>
                <w:sz w:val="21"/>
                <w:szCs w:val="21"/>
                <w:highlight w:val="none"/>
              </w:rPr>
              <w:t>0-</w:t>
            </w:r>
            <w:r>
              <w:rPr>
                <w:rFonts w:hint="eastAsia"/>
                <w:color w:val="auto"/>
                <w:spacing w:val="-3"/>
                <w:sz w:val="21"/>
                <w:szCs w:val="21"/>
                <w:highlight w:val="none"/>
                <w:lang w:val="en-US" w:eastAsia="zh-CN"/>
              </w:rPr>
              <w:t>10</w:t>
            </w:r>
            <w:r>
              <w:rPr>
                <w:rFonts w:hint="eastAsia"/>
                <w:color w:val="auto"/>
                <w:sz w:val="21"/>
                <w:szCs w:val="21"/>
                <w:highlight w:val="none"/>
              </w:rPr>
              <w:t>分</w:t>
            </w:r>
          </w:p>
        </w:tc>
      </w:tr>
      <w:tr w14:paraId="6D8CB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82" w:type="dxa"/>
            <w:vMerge w:val="continue"/>
          </w:tcPr>
          <w:p w14:paraId="083D4738">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p>
        </w:tc>
        <w:tc>
          <w:tcPr>
            <w:tcW w:w="1026" w:type="dxa"/>
            <w:vMerge w:val="continue"/>
          </w:tcPr>
          <w:p w14:paraId="37B28A78">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tc>
        <w:tc>
          <w:tcPr>
            <w:tcW w:w="1153" w:type="dxa"/>
            <w:tcBorders>
              <w:bottom w:val="single" w:color="000000" w:sz="2" w:space="0"/>
            </w:tcBorders>
            <w:shd w:val="clear" w:color="auto" w:fill="auto"/>
            <w:vAlign w:val="center"/>
          </w:tcPr>
          <w:p w14:paraId="6005A88D">
            <w:pPr>
              <w:keepNext w:val="0"/>
              <w:keepLines w:val="0"/>
              <w:widowControl/>
              <w:suppressLineNumbers w:val="0"/>
              <w:jc w:val="center"/>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snapToGrid w:val="0"/>
                <w:color w:val="auto"/>
                <w:sz w:val="21"/>
                <w:szCs w:val="21"/>
                <w:highlight w:val="none"/>
                <w:lang w:val="en-US" w:eastAsia="zh-CN" w:bidi="ar-SA"/>
              </w:rPr>
              <w:t>服务对象满意度（9分）</w:t>
            </w:r>
          </w:p>
          <w:p w14:paraId="6CA05F29">
            <w:pPr>
              <w:pStyle w:val="31"/>
              <w:widowControl/>
              <w:kinsoku/>
              <w:topLinePunct w:val="0"/>
              <w:autoSpaceDE w:val="0"/>
              <w:autoSpaceDN w:val="0"/>
              <w:bidi w:val="0"/>
              <w:adjustRightInd w:val="0"/>
              <w:snapToGrid w:val="0"/>
              <w:spacing w:before="71" w:line="240" w:lineRule="auto"/>
              <w:ind w:right="283"/>
              <w:jc w:val="center"/>
              <w:rPr>
                <w:rFonts w:hint="eastAsia" w:ascii="仿宋" w:hAnsi="仿宋" w:eastAsia="仿宋" w:cs="仿宋"/>
                <w:snapToGrid w:val="0"/>
                <w:color w:val="auto"/>
                <w:sz w:val="21"/>
                <w:szCs w:val="21"/>
                <w:highlight w:val="none"/>
                <w:lang w:val="en-US" w:eastAsia="zh-CN" w:bidi="ar-SA"/>
              </w:rPr>
            </w:pPr>
          </w:p>
        </w:tc>
        <w:tc>
          <w:tcPr>
            <w:tcW w:w="6191" w:type="dxa"/>
            <w:tcBorders>
              <w:bottom w:val="single" w:color="000000" w:sz="2" w:space="0"/>
            </w:tcBorders>
            <w:shd w:val="clear" w:color="auto" w:fill="auto"/>
            <w:vAlign w:val="top"/>
          </w:tcPr>
          <w:p w14:paraId="0653842D">
            <w:pPr>
              <w:keepNext w:val="0"/>
              <w:keepLines w:val="0"/>
              <w:widowControl/>
              <w:suppressLineNumbers w:val="0"/>
              <w:jc w:val="left"/>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snapToGrid w:val="0"/>
                <w:color w:val="auto"/>
                <w:sz w:val="21"/>
                <w:szCs w:val="21"/>
                <w:highlight w:val="none"/>
                <w:lang w:val="en-US" w:eastAsia="zh-CN" w:bidi="ar-SA"/>
              </w:rPr>
              <w:t xml:space="preserve">投标人提供 2022年1月以来餐饮服务项目用工单位服务评价证明资料，且评价为“满意”或“优秀”（或同等评价），每提供一个得3分，此项最多得9分。 </w:t>
            </w:r>
          </w:p>
          <w:p w14:paraId="06E2C80D">
            <w:pPr>
              <w:keepNext w:val="0"/>
              <w:keepLines w:val="0"/>
              <w:widowControl/>
              <w:suppressLineNumbers w:val="0"/>
              <w:jc w:val="left"/>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b/>
                <w:bCs/>
                <w:snapToGrid w:val="0"/>
                <w:color w:val="auto"/>
                <w:sz w:val="21"/>
                <w:szCs w:val="21"/>
                <w:highlight w:val="none"/>
                <w:lang w:val="en-US" w:eastAsia="zh-CN" w:bidi="ar-SA"/>
              </w:rPr>
              <w:t>（注：证明资料需盖用工单位公章，同一单位多个服务评价不累计计分）</w:t>
            </w:r>
          </w:p>
        </w:tc>
        <w:tc>
          <w:tcPr>
            <w:tcW w:w="858" w:type="dxa"/>
            <w:vAlign w:val="center"/>
          </w:tcPr>
          <w:p w14:paraId="1CE74663">
            <w:pPr>
              <w:pStyle w:val="31"/>
              <w:widowControl/>
              <w:kinsoku/>
              <w:topLinePunct w:val="0"/>
              <w:autoSpaceDE w:val="0"/>
              <w:autoSpaceDN w:val="0"/>
              <w:bidi w:val="0"/>
              <w:adjustRightInd w:val="0"/>
              <w:snapToGrid w:val="0"/>
              <w:spacing w:before="78" w:line="206" w:lineRule="auto"/>
              <w:ind w:firstLine="204" w:firstLineChars="100"/>
              <w:jc w:val="center"/>
              <w:rPr>
                <w:rFonts w:hint="default" w:cs="仿宋"/>
                <w:color w:val="auto"/>
                <w:spacing w:val="-3"/>
                <w:sz w:val="21"/>
                <w:szCs w:val="21"/>
                <w:highlight w:val="none"/>
                <w:lang w:val="en-US" w:eastAsia="zh-CN"/>
              </w:rPr>
            </w:pPr>
            <w:r>
              <w:rPr>
                <w:rFonts w:hint="eastAsia" w:cs="仿宋"/>
                <w:color w:val="auto"/>
                <w:spacing w:val="-3"/>
                <w:sz w:val="21"/>
                <w:szCs w:val="21"/>
                <w:highlight w:val="none"/>
                <w:lang w:val="en-US" w:eastAsia="zh-CN"/>
              </w:rPr>
              <w:t>0-9分</w:t>
            </w:r>
          </w:p>
        </w:tc>
      </w:tr>
      <w:tr w14:paraId="19B0C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82" w:type="dxa"/>
            <w:vMerge w:val="continue"/>
          </w:tcPr>
          <w:p w14:paraId="520D2374">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p>
        </w:tc>
        <w:tc>
          <w:tcPr>
            <w:tcW w:w="1026" w:type="dxa"/>
            <w:vMerge w:val="continue"/>
          </w:tcPr>
          <w:p w14:paraId="7CF3CEE2">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tc>
        <w:tc>
          <w:tcPr>
            <w:tcW w:w="1153" w:type="dxa"/>
            <w:tcBorders>
              <w:bottom w:val="single" w:color="000000" w:sz="2" w:space="0"/>
            </w:tcBorders>
            <w:shd w:val="clear" w:color="auto" w:fill="auto"/>
            <w:vAlign w:val="top"/>
          </w:tcPr>
          <w:p w14:paraId="1E1A0E5E">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p>
          <w:p w14:paraId="7BE02E98">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p>
          <w:p w14:paraId="618ED2BE">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p>
          <w:p w14:paraId="0C77A559">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p>
          <w:p w14:paraId="22C39A00">
            <w:pPr>
              <w:pStyle w:val="31"/>
              <w:widowControl/>
              <w:kinsoku/>
              <w:topLinePunct w:val="0"/>
              <w:autoSpaceDE w:val="0"/>
              <w:autoSpaceDN w:val="0"/>
              <w:bidi w:val="0"/>
              <w:adjustRightInd w:val="0"/>
              <w:snapToGrid w:val="0"/>
              <w:spacing w:before="71" w:line="240" w:lineRule="auto"/>
              <w:ind w:left="124" w:right="283" w:firstLine="2"/>
              <w:rPr>
                <w:rFonts w:hint="eastAsia" w:ascii="仿宋" w:hAnsi="仿宋" w:eastAsia="仿宋" w:cs="仿宋"/>
                <w:color w:val="auto"/>
                <w:spacing w:val="-3"/>
                <w:sz w:val="21"/>
                <w:szCs w:val="21"/>
                <w:highlight w:val="none"/>
                <w:lang w:eastAsia="zh-CN"/>
              </w:rPr>
            </w:pPr>
          </w:p>
          <w:p w14:paraId="7C3B2E31">
            <w:pPr>
              <w:pStyle w:val="31"/>
              <w:widowControl/>
              <w:kinsoku/>
              <w:topLinePunct w:val="0"/>
              <w:autoSpaceDE w:val="0"/>
              <w:autoSpaceDN w:val="0"/>
              <w:bidi w:val="0"/>
              <w:adjustRightInd w:val="0"/>
              <w:snapToGrid w:val="0"/>
              <w:spacing w:before="71" w:line="240" w:lineRule="auto"/>
              <w:ind w:right="283"/>
              <w:rPr>
                <w:rFonts w:hint="eastAsia" w:ascii="仿宋" w:hAnsi="仿宋" w:eastAsia="仿宋" w:cs="仿宋"/>
                <w:color w:val="auto"/>
                <w:spacing w:val="-3"/>
                <w:sz w:val="21"/>
                <w:szCs w:val="21"/>
                <w:highlight w:val="none"/>
                <w:lang w:val="en-US" w:eastAsia="en-US"/>
              </w:rPr>
            </w:pPr>
            <w:r>
              <w:rPr>
                <w:rFonts w:hint="eastAsia" w:cs="仿宋"/>
                <w:color w:val="auto"/>
                <w:spacing w:val="-3"/>
                <w:sz w:val="21"/>
                <w:szCs w:val="21"/>
                <w:highlight w:val="none"/>
                <w:lang w:val="en-US" w:eastAsia="zh-CN"/>
              </w:rPr>
              <w:t>人员配置</w:t>
            </w:r>
            <w:r>
              <w:rPr>
                <w:rFonts w:hint="eastAsia" w:ascii="仿宋" w:hAnsi="仿宋" w:eastAsia="仿宋" w:cs="仿宋"/>
                <w:color w:val="auto"/>
                <w:spacing w:val="-3"/>
                <w:sz w:val="21"/>
                <w:szCs w:val="21"/>
                <w:highlight w:val="none"/>
                <w:lang w:eastAsia="zh-CN"/>
              </w:rPr>
              <w:t>（</w:t>
            </w:r>
            <w:r>
              <w:rPr>
                <w:rFonts w:hint="eastAsia" w:cs="仿宋"/>
                <w:color w:val="auto"/>
                <w:spacing w:val="-3"/>
                <w:sz w:val="21"/>
                <w:szCs w:val="21"/>
                <w:highlight w:val="none"/>
                <w:lang w:val="en-US" w:eastAsia="zh-CN"/>
              </w:rPr>
              <w:t>27</w:t>
            </w:r>
            <w:r>
              <w:rPr>
                <w:rFonts w:hint="eastAsia" w:ascii="仿宋" w:hAnsi="仿宋" w:eastAsia="仿宋" w:cs="仿宋"/>
                <w:color w:val="auto"/>
                <w:spacing w:val="-3"/>
                <w:sz w:val="21"/>
                <w:szCs w:val="21"/>
                <w:highlight w:val="none"/>
                <w:lang w:eastAsia="zh-CN"/>
              </w:rPr>
              <w:t>分）</w:t>
            </w:r>
          </w:p>
        </w:tc>
        <w:tc>
          <w:tcPr>
            <w:tcW w:w="6191" w:type="dxa"/>
            <w:tcBorders>
              <w:bottom w:val="single" w:color="000000" w:sz="2" w:space="0"/>
            </w:tcBorders>
            <w:shd w:val="clear" w:color="auto" w:fill="auto"/>
            <w:vAlign w:val="top"/>
          </w:tcPr>
          <w:p w14:paraId="552CFE81">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1、项目主管：为本项目配备项目主管具有食品安全管理师（或管理员）的计 5 分</w:t>
            </w:r>
            <w:r>
              <w:rPr>
                <w:rFonts w:hint="eastAsia" w:cs="仿宋"/>
                <w:color w:val="auto"/>
                <w:spacing w:val="-2"/>
                <w:sz w:val="22"/>
                <w:szCs w:val="22"/>
                <w:highlight w:val="none"/>
                <w:lang w:eastAsia="zh-CN"/>
              </w:rPr>
              <w:t>，</w:t>
            </w:r>
            <w:r>
              <w:rPr>
                <w:rFonts w:hint="eastAsia" w:ascii="仿宋" w:hAnsi="仿宋" w:eastAsia="仿宋" w:cs="仿宋"/>
                <w:color w:val="auto"/>
                <w:spacing w:val="-2"/>
                <w:sz w:val="22"/>
                <w:szCs w:val="22"/>
                <w:highlight w:val="none"/>
                <w:lang w:eastAsia="zh-CN"/>
              </w:rPr>
              <w:t>最多得 5 分。</w:t>
            </w:r>
          </w:p>
          <w:p w14:paraId="02D15B45">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2、厨师:为本项目派入的厨师，每具有一个四级（或中级工)及以上中式烹调师证的得</w:t>
            </w:r>
            <w:r>
              <w:rPr>
                <w:rFonts w:hint="eastAsia" w:cs="仿宋"/>
                <w:color w:val="auto"/>
                <w:spacing w:val="-2"/>
                <w:sz w:val="22"/>
                <w:szCs w:val="22"/>
                <w:highlight w:val="none"/>
                <w:lang w:val="en-US" w:eastAsia="zh-CN"/>
              </w:rPr>
              <w:t>2</w:t>
            </w:r>
            <w:r>
              <w:rPr>
                <w:rFonts w:hint="eastAsia" w:ascii="仿宋" w:hAnsi="仿宋" w:eastAsia="仿宋" w:cs="仿宋"/>
                <w:color w:val="auto"/>
                <w:spacing w:val="-2"/>
                <w:sz w:val="22"/>
                <w:szCs w:val="22"/>
                <w:highlight w:val="none"/>
                <w:lang w:eastAsia="zh-CN"/>
              </w:rPr>
              <w:t>分，最多得</w:t>
            </w: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分。</w:t>
            </w:r>
          </w:p>
          <w:p w14:paraId="0739B3EA">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3、面点师:为本项目派入的面点师，每具有一个中级及以上面点师资格证书的得</w:t>
            </w:r>
            <w:r>
              <w:rPr>
                <w:rFonts w:hint="eastAsia" w:cs="仿宋"/>
                <w:color w:val="auto"/>
                <w:spacing w:val="-2"/>
                <w:sz w:val="22"/>
                <w:szCs w:val="22"/>
                <w:highlight w:val="none"/>
                <w:lang w:val="en-US" w:eastAsia="zh-CN"/>
              </w:rPr>
              <w:t>2</w:t>
            </w:r>
            <w:r>
              <w:rPr>
                <w:rFonts w:hint="eastAsia" w:ascii="仿宋" w:hAnsi="仿宋" w:eastAsia="仿宋" w:cs="仿宋"/>
                <w:color w:val="auto"/>
                <w:spacing w:val="-2"/>
                <w:sz w:val="22"/>
                <w:szCs w:val="22"/>
                <w:highlight w:val="none"/>
                <w:lang w:eastAsia="zh-CN"/>
              </w:rPr>
              <w:t>分，最多得 4分。</w:t>
            </w:r>
          </w:p>
          <w:p w14:paraId="71E51ED8">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4、营养师:为本项目派入的营养师，每具有一个营养师资格证书的</w:t>
            </w:r>
            <w:r>
              <w:rPr>
                <w:rFonts w:hint="eastAsia" w:cs="仿宋"/>
                <w:color w:val="auto"/>
                <w:spacing w:val="-2"/>
                <w:sz w:val="22"/>
                <w:szCs w:val="22"/>
                <w:highlight w:val="none"/>
                <w:lang w:val="en-US" w:eastAsia="zh-CN"/>
              </w:rPr>
              <w:t>2</w:t>
            </w:r>
            <w:r>
              <w:rPr>
                <w:rFonts w:hint="eastAsia" w:ascii="仿宋" w:hAnsi="仿宋" w:eastAsia="仿宋" w:cs="仿宋"/>
                <w:color w:val="auto"/>
                <w:spacing w:val="-2"/>
                <w:sz w:val="22"/>
                <w:szCs w:val="22"/>
                <w:highlight w:val="none"/>
                <w:lang w:eastAsia="zh-CN"/>
              </w:rPr>
              <w:t>分，最多得</w:t>
            </w: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分。</w:t>
            </w:r>
          </w:p>
          <w:p w14:paraId="423120FD">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5、</w:t>
            </w:r>
            <w:r>
              <w:rPr>
                <w:rFonts w:hint="eastAsia" w:cs="仿宋"/>
                <w:color w:val="auto"/>
                <w:spacing w:val="-2"/>
                <w:sz w:val="22"/>
                <w:szCs w:val="22"/>
                <w:highlight w:val="none"/>
                <w:lang w:val="en-US" w:eastAsia="zh-CN"/>
              </w:rPr>
              <w:t>其他服务</w:t>
            </w:r>
            <w:r>
              <w:rPr>
                <w:rFonts w:hint="eastAsia" w:ascii="仿宋" w:hAnsi="仿宋" w:eastAsia="仿宋" w:cs="仿宋"/>
                <w:color w:val="auto"/>
                <w:spacing w:val="-2"/>
                <w:sz w:val="22"/>
                <w:szCs w:val="22"/>
                <w:highlight w:val="none"/>
                <w:lang w:eastAsia="zh-CN"/>
              </w:rPr>
              <w:t>人员:拟派入本项目</w:t>
            </w:r>
            <w:r>
              <w:rPr>
                <w:rFonts w:hint="eastAsia" w:cs="仿宋"/>
                <w:color w:val="auto"/>
                <w:spacing w:val="-2"/>
                <w:sz w:val="22"/>
                <w:szCs w:val="22"/>
                <w:highlight w:val="none"/>
                <w:lang w:val="en-US" w:eastAsia="zh-CN"/>
              </w:rPr>
              <w:t>服务</w:t>
            </w:r>
            <w:r>
              <w:rPr>
                <w:rFonts w:hint="eastAsia" w:ascii="仿宋" w:hAnsi="仿宋" w:eastAsia="仿宋" w:cs="仿宋"/>
                <w:color w:val="auto"/>
                <w:spacing w:val="-2"/>
                <w:sz w:val="22"/>
                <w:szCs w:val="22"/>
                <w:highlight w:val="none"/>
                <w:lang w:eastAsia="zh-CN"/>
              </w:rPr>
              <w:t>人员每</w:t>
            </w:r>
            <w:r>
              <w:rPr>
                <w:rFonts w:hint="eastAsia" w:cs="仿宋"/>
                <w:color w:val="auto"/>
                <w:spacing w:val="-2"/>
                <w:sz w:val="22"/>
                <w:szCs w:val="22"/>
                <w:highlight w:val="none"/>
                <w:lang w:val="en-US" w:eastAsia="zh-CN"/>
              </w:rPr>
              <w:t>增加</w:t>
            </w:r>
            <w:r>
              <w:rPr>
                <w:rFonts w:hint="eastAsia" w:ascii="仿宋" w:hAnsi="仿宋" w:eastAsia="仿宋" w:cs="仿宋"/>
                <w:color w:val="auto"/>
                <w:spacing w:val="-2"/>
                <w:sz w:val="22"/>
                <w:szCs w:val="22"/>
                <w:highlight w:val="none"/>
                <w:lang w:eastAsia="zh-CN"/>
              </w:rPr>
              <w:t>一人得</w:t>
            </w:r>
            <w:r>
              <w:rPr>
                <w:rFonts w:hint="eastAsia" w:cs="仿宋"/>
                <w:color w:val="auto"/>
                <w:spacing w:val="-2"/>
                <w:sz w:val="22"/>
                <w:szCs w:val="22"/>
                <w:highlight w:val="none"/>
                <w:lang w:val="en-US" w:eastAsia="zh-CN"/>
              </w:rPr>
              <w:t>2</w:t>
            </w:r>
            <w:r>
              <w:rPr>
                <w:rFonts w:hint="eastAsia" w:ascii="仿宋" w:hAnsi="仿宋" w:eastAsia="仿宋" w:cs="仿宋"/>
                <w:color w:val="auto"/>
                <w:spacing w:val="-2"/>
                <w:sz w:val="22"/>
                <w:szCs w:val="22"/>
                <w:highlight w:val="none"/>
                <w:lang w:eastAsia="zh-CN"/>
              </w:rPr>
              <w:t>分，本项满分</w:t>
            </w:r>
            <w:r>
              <w:rPr>
                <w:rFonts w:hint="eastAsia" w:cs="仿宋"/>
                <w:color w:val="auto"/>
                <w:spacing w:val="-2"/>
                <w:sz w:val="22"/>
                <w:szCs w:val="22"/>
                <w:highlight w:val="none"/>
                <w:lang w:val="en-US" w:eastAsia="zh-CN"/>
              </w:rPr>
              <w:t>10</w:t>
            </w:r>
            <w:r>
              <w:rPr>
                <w:rFonts w:hint="eastAsia" w:ascii="仿宋" w:hAnsi="仿宋" w:eastAsia="仿宋" w:cs="仿宋"/>
                <w:color w:val="auto"/>
                <w:spacing w:val="-2"/>
                <w:sz w:val="22"/>
                <w:szCs w:val="22"/>
                <w:highlight w:val="none"/>
                <w:lang w:eastAsia="zh-CN"/>
              </w:rPr>
              <w:t>分。</w:t>
            </w:r>
          </w:p>
          <w:p w14:paraId="752BB056">
            <w:pPr>
              <w:pStyle w:val="9"/>
              <w:widowControl/>
              <w:kinsoku/>
              <w:topLinePunct w:val="0"/>
              <w:autoSpaceDE w:val="0"/>
              <w:autoSpaceDN w:val="0"/>
              <w:bidi w:val="0"/>
              <w:adjustRightInd w:val="0"/>
              <w:snapToGrid w:val="0"/>
              <w:spacing w:before="78" w:line="359" w:lineRule="auto"/>
              <w:jc w:val="both"/>
              <w:rPr>
                <w:rFonts w:hint="eastAsia" w:ascii="仿宋" w:hAnsi="仿宋" w:eastAsia="仿宋" w:cs="仿宋"/>
                <w:b/>
                <w:bCs/>
                <w:color w:val="auto"/>
                <w:spacing w:val="-2"/>
                <w:sz w:val="22"/>
                <w:szCs w:val="22"/>
                <w:highlight w:val="none"/>
                <w:lang w:eastAsia="zh-CN"/>
              </w:rPr>
            </w:pPr>
            <w:r>
              <w:rPr>
                <w:rFonts w:hint="eastAsia" w:ascii="仿宋" w:hAnsi="仿宋" w:eastAsia="仿宋" w:cs="仿宋"/>
                <w:b/>
                <w:bCs/>
                <w:color w:val="auto"/>
                <w:spacing w:val="-2"/>
                <w:sz w:val="22"/>
                <w:szCs w:val="22"/>
                <w:highlight w:val="none"/>
                <w:lang w:eastAsia="zh-CN"/>
              </w:rPr>
              <w:t>注：（1）上述</w:t>
            </w:r>
            <w:r>
              <w:rPr>
                <w:rFonts w:hint="eastAsia" w:cs="仿宋"/>
                <w:b/>
                <w:bCs/>
                <w:color w:val="auto"/>
                <w:spacing w:val="-2"/>
                <w:sz w:val="22"/>
                <w:szCs w:val="22"/>
                <w:highlight w:val="none"/>
                <w:lang w:val="en-US" w:eastAsia="zh-CN"/>
              </w:rPr>
              <w:t>每个</w:t>
            </w:r>
            <w:r>
              <w:rPr>
                <w:rFonts w:hint="eastAsia" w:ascii="仿宋" w:hAnsi="仿宋" w:eastAsia="仿宋" w:cs="仿宋"/>
                <w:b/>
                <w:bCs/>
                <w:color w:val="auto"/>
                <w:spacing w:val="-2"/>
                <w:sz w:val="22"/>
                <w:szCs w:val="22"/>
                <w:highlight w:val="none"/>
                <w:lang w:eastAsia="zh-CN"/>
              </w:rPr>
              <w:t>人员不重复计分。</w:t>
            </w:r>
          </w:p>
          <w:p w14:paraId="20AE8E87">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3"/>
                <w:sz w:val="21"/>
                <w:szCs w:val="21"/>
                <w:highlight w:val="none"/>
                <w:lang w:val="en-US" w:eastAsia="en-US"/>
              </w:rPr>
            </w:pPr>
            <w:r>
              <w:rPr>
                <w:rFonts w:hint="eastAsia" w:ascii="仿宋" w:hAnsi="仿宋" w:eastAsia="仿宋" w:cs="仿宋"/>
                <w:b/>
                <w:bCs/>
                <w:color w:val="auto"/>
                <w:spacing w:val="-2"/>
                <w:sz w:val="22"/>
                <w:szCs w:val="22"/>
                <w:highlight w:val="none"/>
                <w:lang w:eastAsia="zh-CN"/>
              </w:rPr>
              <w:t>（2）需提供派入人员身份证、健康证、相关职业证书</w:t>
            </w:r>
            <w:r>
              <w:rPr>
                <w:rFonts w:hint="eastAsia" w:cs="仿宋"/>
                <w:b/>
                <w:bCs/>
                <w:color w:val="auto"/>
                <w:spacing w:val="-2"/>
                <w:sz w:val="22"/>
                <w:szCs w:val="22"/>
                <w:highlight w:val="none"/>
                <w:lang w:val="en-US" w:eastAsia="zh-CN"/>
              </w:rPr>
              <w:t>及</w:t>
            </w:r>
            <w:r>
              <w:rPr>
                <w:rFonts w:hint="eastAsia" w:ascii="仿宋" w:hAnsi="仿宋" w:eastAsia="仿宋" w:cs="仿宋"/>
                <w:b/>
                <w:bCs/>
                <w:color w:val="auto"/>
                <w:spacing w:val="-2"/>
                <w:sz w:val="22"/>
                <w:szCs w:val="22"/>
                <w:highlight w:val="none"/>
                <w:lang w:eastAsia="zh-CN"/>
              </w:rPr>
              <w:t>劳动合同</w:t>
            </w:r>
            <w:r>
              <w:rPr>
                <w:rFonts w:hint="eastAsia" w:cs="仿宋"/>
                <w:b/>
                <w:bCs/>
                <w:color w:val="auto"/>
                <w:spacing w:val="-2"/>
                <w:sz w:val="22"/>
                <w:szCs w:val="22"/>
                <w:highlight w:val="none"/>
                <w:lang w:eastAsia="zh-CN"/>
              </w:rPr>
              <w:t>（</w:t>
            </w:r>
            <w:r>
              <w:rPr>
                <w:rFonts w:hint="eastAsia" w:cs="仿宋"/>
                <w:b/>
                <w:bCs/>
                <w:color w:val="auto"/>
                <w:spacing w:val="-2"/>
                <w:sz w:val="22"/>
                <w:szCs w:val="22"/>
                <w:highlight w:val="none"/>
                <w:lang w:val="en-US" w:eastAsia="zh-CN"/>
              </w:rPr>
              <w:t>或提供供应商</w:t>
            </w:r>
            <w:r>
              <w:rPr>
                <w:rFonts w:hint="eastAsia" w:ascii="仿宋" w:hAnsi="仿宋" w:eastAsia="仿宋" w:cs="仿宋"/>
                <w:b/>
                <w:bCs/>
                <w:color w:val="auto"/>
                <w:spacing w:val="-2"/>
                <w:sz w:val="22"/>
                <w:szCs w:val="22"/>
                <w:highlight w:val="none"/>
                <w:lang w:eastAsia="zh-CN"/>
              </w:rPr>
              <w:t>2025年任意</w:t>
            </w:r>
            <w:r>
              <w:rPr>
                <w:rFonts w:hint="eastAsia" w:cs="仿宋"/>
                <w:b/>
                <w:bCs/>
                <w:color w:val="auto"/>
                <w:spacing w:val="-2"/>
                <w:sz w:val="22"/>
                <w:szCs w:val="22"/>
                <w:highlight w:val="none"/>
                <w:lang w:val="en-US" w:eastAsia="zh-CN"/>
              </w:rPr>
              <w:t>1</w:t>
            </w:r>
            <w:r>
              <w:rPr>
                <w:rFonts w:hint="eastAsia" w:ascii="仿宋" w:hAnsi="仿宋" w:eastAsia="仿宋" w:cs="仿宋"/>
                <w:b/>
                <w:bCs/>
                <w:color w:val="auto"/>
                <w:spacing w:val="-2"/>
                <w:sz w:val="22"/>
                <w:szCs w:val="22"/>
                <w:highlight w:val="none"/>
                <w:lang w:eastAsia="zh-CN"/>
              </w:rPr>
              <w:t>个月为其缴纳的社保证明或养老保险</w:t>
            </w:r>
            <w:r>
              <w:rPr>
                <w:rFonts w:hint="eastAsia" w:cs="仿宋"/>
                <w:b/>
                <w:bCs/>
                <w:color w:val="auto"/>
                <w:spacing w:val="-2"/>
                <w:sz w:val="22"/>
                <w:szCs w:val="22"/>
                <w:highlight w:val="none"/>
                <w:lang w:eastAsia="zh-CN"/>
              </w:rPr>
              <w:t>）</w:t>
            </w:r>
            <w:r>
              <w:rPr>
                <w:rFonts w:hint="eastAsia" w:ascii="仿宋" w:hAnsi="仿宋" w:eastAsia="仿宋" w:cs="仿宋"/>
                <w:b/>
                <w:bCs/>
                <w:color w:val="auto"/>
                <w:spacing w:val="-2"/>
                <w:sz w:val="22"/>
                <w:szCs w:val="22"/>
                <w:highlight w:val="none"/>
                <w:lang w:eastAsia="zh-CN"/>
              </w:rPr>
              <w:t>的复印件（或扫描件）加盖单位公章佐证，未按要求提供的不得分。</w:t>
            </w:r>
          </w:p>
        </w:tc>
        <w:tc>
          <w:tcPr>
            <w:tcW w:w="858" w:type="dxa"/>
            <w:vAlign w:val="center"/>
          </w:tcPr>
          <w:p w14:paraId="5103D246">
            <w:pPr>
              <w:pStyle w:val="31"/>
              <w:widowControl/>
              <w:kinsoku/>
              <w:topLinePunct w:val="0"/>
              <w:autoSpaceDE w:val="0"/>
              <w:autoSpaceDN w:val="0"/>
              <w:bidi w:val="0"/>
              <w:adjustRightInd w:val="0"/>
              <w:snapToGrid w:val="0"/>
              <w:spacing w:before="78" w:line="206" w:lineRule="auto"/>
              <w:ind w:firstLine="204" w:firstLineChars="100"/>
              <w:jc w:val="center"/>
              <w:rPr>
                <w:rFonts w:hint="default" w:ascii="仿宋" w:hAnsi="仿宋" w:eastAsia="仿宋" w:cs="仿宋"/>
                <w:color w:val="auto"/>
                <w:spacing w:val="-3"/>
                <w:sz w:val="21"/>
                <w:szCs w:val="21"/>
                <w:highlight w:val="none"/>
                <w:lang w:val="en-US" w:eastAsia="zh-CN"/>
              </w:rPr>
            </w:pPr>
            <w:r>
              <w:rPr>
                <w:rFonts w:hint="eastAsia" w:cs="仿宋"/>
                <w:color w:val="auto"/>
                <w:spacing w:val="-3"/>
                <w:sz w:val="21"/>
                <w:szCs w:val="21"/>
                <w:highlight w:val="none"/>
                <w:lang w:val="en-US" w:eastAsia="zh-CN"/>
              </w:rPr>
              <w:t>0-27分</w:t>
            </w:r>
          </w:p>
        </w:tc>
      </w:tr>
      <w:tr w14:paraId="70FF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482" w:type="dxa"/>
            <w:vMerge w:val="continue"/>
          </w:tcPr>
          <w:p w14:paraId="3D8B8F17">
            <w:pPr>
              <w:pStyle w:val="31"/>
              <w:widowControl/>
              <w:kinsoku/>
              <w:topLinePunct w:val="0"/>
              <w:autoSpaceDE w:val="0"/>
              <w:autoSpaceDN w:val="0"/>
              <w:bidi w:val="0"/>
              <w:adjustRightInd w:val="0"/>
              <w:snapToGrid w:val="0"/>
              <w:spacing w:before="78" w:line="180" w:lineRule="auto"/>
              <w:ind w:firstLine="210" w:firstLineChars="100"/>
              <w:rPr>
                <w:rFonts w:hint="eastAsia" w:ascii="仿宋" w:hAnsi="仿宋" w:eastAsia="仿宋" w:cs="仿宋"/>
                <w:color w:val="auto"/>
                <w:sz w:val="21"/>
                <w:szCs w:val="21"/>
                <w:highlight w:val="none"/>
              </w:rPr>
            </w:pPr>
          </w:p>
        </w:tc>
        <w:tc>
          <w:tcPr>
            <w:tcW w:w="1026" w:type="dxa"/>
            <w:vMerge w:val="continue"/>
          </w:tcPr>
          <w:p w14:paraId="60D6B7A9">
            <w:pPr>
              <w:pStyle w:val="31"/>
              <w:widowControl/>
              <w:kinsoku/>
              <w:topLinePunct w:val="0"/>
              <w:autoSpaceDE w:val="0"/>
              <w:autoSpaceDN w:val="0"/>
              <w:bidi w:val="0"/>
              <w:adjustRightInd w:val="0"/>
              <w:snapToGrid w:val="0"/>
              <w:spacing w:before="78" w:line="234" w:lineRule="auto"/>
              <w:ind w:right="108"/>
              <w:jc w:val="center"/>
              <w:rPr>
                <w:rFonts w:hint="eastAsia" w:ascii="仿宋" w:hAnsi="仿宋" w:eastAsia="仿宋" w:cs="仿宋"/>
                <w:b w:val="0"/>
                <w:bCs w:val="0"/>
                <w:color w:val="auto"/>
                <w:spacing w:val="21"/>
                <w:sz w:val="21"/>
                <w:szCs w:val="21"/>
                <w:highlight w:val="none"/>
              </w:rPr>
            </w:pPr>
          </w:p>
        </w:tc>
        <w:tc>
          <w:tcPr>
            <w:tcW w:w="1153" w:type="dxa"/>
            <w:tcBorders>
              <w:bottom w:val="single" w:color="000000" w:sz="2" w:space="0"/>
            </w:tcBorders>
            <w:shd w:val="clear" w:color="auto" w:fill="auto"/>
            <w:vAlign w:val="center"/>
          </w:tcPr>
          <w:p w14:paraId="0D1EF9A7">
            <w:pPr>
              <w:pStyle w:val="31"/>
              <w:widowControl/>
              <w:kinsoku/>
              <w:topLinePunct w:val="0"/>
              <w:autoSpaceDE w:val="0"/>
              <w:autoSpaceDN w:val="0"/>
              <w:bidi w:val="0"/>
              <w:adjustRightInd w:val="0"/>
              <w:snapToGrid w:val="0"/>
              <w:spacing w:before="91" w:line="220" w:lineRule="auto"/>
              <w:jc w:val="center"/>
              <w:rPr>
                <w:rFonts w:hint="eastAsia" w:ascii="仿宋" w:hAnsi="仿宋" w:eastAsia="仿宋" w:cs="仿宋"/>
                <w:snapToGrid w:val="0"/>
                <w:color w:val="auto"/>
                <w:sz w:val="21"/>
                <w:szCs w:val="21"/>
                <w:highlight w:val="none"/>
                <w:lang w:val="en-US" w:eastAsia="en-US" w:bidi="ar-SA"/>
              </w:rPr>
            </w:pPr>
            <w:r>
              <w:rPr>
                <w:rFonts w:hint="eastAsia" w:ascii="仿宋" w:hAnsi="仿宋" w:eastAsia="仿宋" w:cs="仿宋"/>
                <w:color w:val="auto"/>
                <w:spacing w:val="-3"/>
                <w:sz w:val="21"/>
                <w:szCs w:val="21"/>
                <w:highlight w:val="none"/>
              </w:rPr>
              <w:t>食品安全</w:t>
            </w:r>
            <w:r>
              <w:rPr>
                <w:rFonts w:hint="eastAsia" w:ascii="仿宋" w:hAnsi="仿宋" w:eastAsia="仿宋" w:cs="仿宋"/>
                <w:color w:val="auto"/>
                <w:spacing w:val="-4"/>
                <w:sz w:val="21"/>
                <w:szCs w:val="21"/>
                <w:highlight w:val="none"/>
              </w:rPr>
              <w:t>责任保险</w:t>
            </w:r>
            <w:r>
              <w:rPr>
                <w:rFonts w:hint="eastAsia" w:ascii="仿宋" w:hAnsi="仿宋" w:eastAsia="仿宋" w:cs="仿宋"/>
                <w:color w:val="auto"/>
                <w:spacing w:val="-7"/>
                <w:sz w:val="21"/>
                <w:szCs w:val="21"/>
                <w:highlight w:val="none"/>
              </w:rPr>
              <w:t>（</w:t>
            </w:r>
            <w:r>
              <w:rPr>
                <w:rFonts w:hint="eastAsia" w:cs="仿宋"/>
                <w:color w:val="auto"/>
                <w:spacing w:val="-7"/>
                <w:sz w:val="21"/>
                <w:szCs w:val="21"/>
                <w:highlight w:val="none"/>
                <w:lang w:val="en-US" w:eastAsia="zh-CN"/>
              </w:rPr>
              <w:t>5</w:t>
            </w:r>
            <w:r>
              <w:rPr>
                <w:rFonts w:hint="eastAsia" w:ascii="仿宋" w:hAnsi="仿宋" w:eastAsia="仿宋" w:cs="仿宋"/>
                <w:color w:val="auto"/>
                <w:spacing w:val="-7"/>
                <w:sz w:val="21"/>
                <w:szCs w:val="21"/>
                <w:highlight w:val="none"/>
              </w:rPr>
              <w:t>分）</w:t>
            </w:r>
          </w:p>
        </w:tc>
        <w:tc>
          <w:tcPr>
            <w:tcW w:w="6191" w:type="dxa"/>
            <w:tcBorders>
              <w:bottom w:val="single" w:color="000000" w:sz="2" w:space="0"/>
            </w:tcBorders>
            <w:shd w:val="clear" w:color="auto" w:fill="auto"/>
            <w:vAlign w:val="top"/>
          </w:tcPr>
          <w:p w14:paraId="63F596F6">
            <w:pPr>
              <w:pStyle w:val="31"/>
              <w:widowControl/>
              <w:kinsoku/>
              <w:topLinePunct w:val="0"/>
              <w:autoSpaceDE w:val="0"/>
              <w:autoSpaceDN w:val="0"/>
              <w:bidi w:val="0"/>
              <w:adjustRightInd w:val="0"/>
              <w:snapToGrid w:val="0"/>
              <w:spacing w:before="52" w:line="288" w:lineRule="auto"/>
              <w:ind w:left="112" w:right="214"/>
              <w:jc w:val="both"/>
              <w:rPr>
                <w:rFonts w:hint="eastAsia" w:ascii="仿宋" w:hAnsi="仿宋" w:eastAsia="仿宋" w:cs="仿宋"/>
                <w:color w:val="auto"/>
                <w:spacing w:val="10"/>
                <w:sz w:val="21"/>
                <w:szCs w:val="21"/>
                <w:highlight w:val="none"/>
                <w:lang w:val="en-US" w:eastAsia="en-US"/>
              </w:rPr>
            </w:pPr>
            <w:r>
              <w:rPr>
                <w:rFonts w:hint="eastAsia" w:ascii="仿宋" w:hAnsi="仿宋" w:eastAsia="仿宋" w:cs="仿宋"/>
                <w:color w:val="auto"/>
                <w:spacing w:val="10"/>
                <w:sz w:val="21"/>
                <w:szCs w:val="21"/>
                <w:highlight w:val="none"/>
                <w:lang w:val="en-US" w:eastAsia="en-US"/>
              </w:rPr>
              <w:t>投标</w:t>
            </w:r>
            <w:r>
              <w:rPr>
                <w:rFonts w:hint="eastAsia" w:ascii="仿宋" w:hAnsi="仿宋" w:eastAsia="仿宋" w:cs="仿宋"/>
                <w:color w:val="auto"/>
                <w:spacing w:val="10"/>
                <w:sz w:val="21"/>
                <w:szCs w:val="21"/>
                <w:highlight w:val="none"/>
                <w:lang w:val="en-US" w:eastAsia="zh-CN"/>
              </w:rPr>
              <w:t>供应商</w:t>
            </w:r>
            <w:r>
              <w:rPr>
                <w:rFonts w:hint="eastAsia" w:ascii="仿宋" w:hAnsi="仿宋" w:eastAsia="仿宋" w:cs="仿宋"/>
                <w:color w:val="auto"/>
                <w:spacing w:val="10"/>
                <w:sz w:val="21"/>
                <w:szCs w:val="21"/>
                <w:highlight w:val="none"/>
                <w:lang w:val="en-US" w:eastAsia="en-US"/>
              </w:rPr>
              <w:t>承诺为本项目购买食品安全责任险（保险期1年）得</w:t>
            </w:r>
            <w:r>
              <w:rPr>
                <w:rFonts w:hint="eastAsia" w:cs="仿宋"/>
                <w:color w:val="auto"/>
                <w:spacing w:val="10"/>
                <w:sz w:val="21"/>
                <w:szCs w:val="21"/>
                <w:highlight w:val="none"/>
                <w:lang w:val="en-US" w:eastAsia="zh-CN"/>
              </w:rPr>
              <w:t>5</w:t>
            </w:r>
            <w:r>
              <w:rPr>
                <w:rFonts w:hint="eastAsia" w:ascii="仿宋" w:hAnsi="仿宋" w:eastAsia="仿宋" w:cs="仿宋"/>
                <w:color w:val="auto"/>
                <w:spacing w:val="10"/>
                <w:sz w:val="21"/>
                <w:szCs w:val="21"/>
                <w:highlight w:val="none"/>
                <w:lang w:val="en-US" w:eastAsia="en-US"/>
              </w:rPr>
              <w:t>分。</w:t>
            </w:r>
          </w:p>
          <w:p w14:paraId="53D96D7E">
            <w:pPr>
              <w:pStyle w:val="31"/>
              <w:widowControl/>
              <w:kinsoku/>
              <w:topLinePunct w:val="0"/>
              <w:autoSpaceDE w:val="0"/>
              <w:autoSpaceDN w:val="0"/>
              <w:bidi w:val="0"/>
              <w:adjustRightInd w:val="0"/>
              <w:snapToGrid w:val="0"/>
              <w:spacing w:before="52" w:line="288" w:lineRule="auto"/>
              <w:ind w:left="112" w:right="214"/>
              <w:jc w:val="both"/>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b/>
                <w:bCs/>
                <w:color w:val="auto"/>
                <w:spacing w:val="10"/>
                <w:sz w:val="21"/>
                <w:szCs w:val="21"/>
                <w:highlight w:val="none"/>
                <w:lang w:val="en-US" w:eastAsia="en-US"/>
              </w:rPr>
              <w:t>注：需提供承诺书（格式自拟），不符合或不提供不得分。如中标后，中标人未能按照承诺函购买食品安全责任险，业主有权取消中标人的中标资格。</w:t>
            </w:r>
          </w:p>
        </w:tc>
        <w:tc>
          <w:tcPr>
            <w:tcW w:w="858" w:type="dxa"/>
            <w:vAlign w:val="center"/>
          </w:tcPr>
          <w:p w14:paraId="56F71F6F">
            <w:pPr>
              <w:pStyle w:val="31"/>
              <w:widowControl/>
              <w:kinsoku/>
              <w:topLinePunct w:val="0"/>
              <w:autoSpaceDE w:val="0"/>
              <w:autoSpaceDN w:val="0"/>
              <w:bidi w:val="0"/>
              <w:adjustRightInd w:val="0"/>
              <w:snapToGrid w:val="0"/>
              <w:spacing w:before="78" w:line="206" w:lineRule="auto"/>
              <w:ind w:firstLine="204" w:firstLineChars="100"/>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0-</w:t>
            </w:r>
            <w:r>
              <w:rPr>
                <w:rFonts w:hint="eastAsia" w:cs="仿宋"/>
                <w:color w:val="auto"/>
                <w:spacing w:val="-3"/>
                <w:sz w:val="21"/>
                <w:szCs w:val="21"/>
                <w:highlight w:val="none"/>
                <w:lang w:val="en-US" w:eastAsia="zh-CN"/>
              </w:rPr>
              <w:t>5</w:t>
            </w:r>
            <w:r>
              <w:rPr>
                <w:rFonts w:hint="eastAsia" w:ascii="仿宋" w:hAnsi="仿宋" w:eastAsia="仿宋" w:cs="仿宋"/>
                <w:color w:val="auto"/>
                <w:spacing w:val="-3"/>
                <w:sz w:val="21"/>
                <w:szCs w:val="21"/>
                <w:highlight w:val="none"/>
                <w:lang w:val="en-US" w:eastAsia="zh-CN"/>
              </w:rPr>
              <w:t>分</w:t>
            </w:r>
          </w:p>
        </w:tc>
      </w:tr>
      <w:tr w14:paraId="5123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710" w:type="dxa"/>
            <w:gridSpan w:val="5"/>
          </w:tcPr>
          <w:p w14:paraId="125D37A1">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本项目专门面向中小微企业采购，不再执行价格扣除。中小企业划分标准依照工业和信息化部、国家统计局、国家发展和改革委员会、财政部联合下发的《关于印发中小企业划型标准规定的通知》（工信部联企业《2011》300号）执行；</w:t>
            </w:r>
          </w:p>
          <w:p w14:paraId="4B9DDD05">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strike w:val="0"/>
                <w:dstrike/>
                <w:color w:val="auto"/>
                <w:sz w:val="21"/>
                <w:szCs w:val="21"/>
                <w:highlight w:val="none"/>
                <w:u w:val="none"/>
                <w:lang w:val="en-US" w:eastAsia="zh-CN"/>
              </w:rPr>
            </w:pPr>
            <w:r>
              <w:rPr>
                <w:rFonts w:hint="eastAsia" w:ascii="仿宋" w:hAnsi="仿宋" w:eastAsia="仿宋" w:cs="仿宋"/>
                <w:strike w:val="0"/>
                <w:dstrike/>
                <w:color w:val="auto"/>
                <w:sz w:val="21"/>
                <w:szCs w:val="21"/>
                <w:highlight w:val="none"/>
                <w:u w:val="none"/>
                <w:lang w:val="en-US" w:eastAsia="zh-CN"/>
              </w:rPr>
              <w:t>（2）对原产地在少数民族自治区和享受少数民族自治待遇的省份（云南、贵州、青海）的投标主产品（不含附带产品），在总得分基础上加3分。投标主产品按照不得低于本采购项目预算金额50%加以确定；（本项目为服务采购项目，不适用本条要求）</w:t>
            </w:r>
          </w:p>
          <w:p w14:paraId="1EF1B913">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strike w:val="0"/>
                <w:dstrike/>
                <w:color w:val="auto"/>
                <w:sz w:val="21"/>
                <w:szCs w:val="21"/>
                <w:highlight w:val="none"/>
                <w:u w:val="none"/>
                <w:lang w:val="en-US" w:eastAsia="zh-CN"/>
              </w:rPr>
            </w:pPr>
            <w:r>
              <w:rPr>
                <w:rFonts w:hint="eastAsia" w:ascii="仿宋" w:hAnsi="仿宋" w:eastAsia="仿宋" w:cs="仿宋"/>
                <w:strike w:val="0"/>
                <w:dstrike/>
                <w:color w:val="auto"/>
                <w:sz w:val="21"/>
                <w:szCs w:val="21"/>
                <w:highlight w:val="none"/>
                <w:u w:val="none"/>
                <w:lang w:val="en-US"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本项目为服务采购项目，不适用本条要求）</w:t>
            </w:r>
          </w:p>
          <w:p w14:paraId="016F8AEF">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（4）符合条件的残疾人福利性单位视同小型、微型企业在投标中享受同等优惠，但须提供《残疾人福利性单位声明函》，监狱企业视同小型、微型企业（以当地管理部门出具的证明为准）。</w:t>
            </w:r>
          </w:p>
          <w:p w14:paraId="7A8CE5C3">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注：残疾人福利性单位属于中小企业的，不重复享受政策。</w:t>
            </w:r>
          </w:p>
          <w:p w14:paraId="0E54CB50">
            <w:pPr>
              <w:pStyle w:val="9"/>
              <w:widowControl/>
              <w:numPr>
                <w:ilvl w:val="0"/>
                <w:numId w:val="0"/>
              </w:numPr>
              <w:kinsoku/>
              <w:topLinePunct w:val="0"/>
              <w:autoSpaceDE w:val="0"/>
              <w:autoSpaceDN w:val="0"/>
              <w:bidi w:val="0"/>
              <w:adjustRightInd w:val="0"/>
              <w:snapToGrid w:val="0"/>
              <w:spacing w:line="360" w:lineRule="auto"/>
              <w:ind w:firstLine="420" w:firstLineChars="200"/>
              <w:jc w:val="both"/>
              <w:rPr>
                <w:rFonts w:hint="eastAsia" w:ascii="仿宋" w:hAnsi="仿宋" w:eastAsia="仿宋" w:cs="仿宋"/>
                <w:color w:val="auto"/>
                <w:spacing w:val="-1"/>
                <w:sz w:val="21"/>
                <w:szCs w:val="21"/>
                <w:highlight w:val="none"/>
                <w:lang w:val="en-US" w:eastAsia="zh-CN"/>
              </w:rPr>
            </w:pPr>
            <w:r>
              <w:rPr>
                <w:rFonts w:hint="eastAsia" w:ascii="仿宋" w:hAnsi="仿宋" w:eastAsia="仿宋" w:cs="仿宋"/>
                <w:color w:val="auto"/>
                <w:sz w:val="21"/>
                <w:szCs w:val="21"/>
                <w:highlight w:val="none"/>
                <w:u w:val="none"/>
                <w:lang w:val="en-US" w:eastAsia="zh-CN"/>
              </w:rPr>
              <w:t>（本项目专门面向中小微企业采购，供应商应为中小微企业、监狱企业、残疾人福利性单位,提供中小企业声明函）</w:t>
            </w:r>
          </w:p>
        </w:tc>
      </w:tr>
    </w:tbl>
    <w:p w14:paraId="6F87B425">
      <w:pPr>
        <w:pageBreakBefore w:val="0"/>
        <w:widowControl/>
        <w:kinsoku/>
        <w:overflowPunct/>
        <w:topLinePunct w:val="0"/>
        <w:autoSpaceDE w:val="0"/>
        <w:autoSpaceDN w:val="0"/>
        <w:bidi w:val="0"/>
        <w:adjustRightInd w:val="0"/>
        <w:snapToGrid w:val="0"/>
        <w:spacing w:before="0" w:beforeLines="30" w:beforeAutospacing="0" w:after="0" w:afterLines="20" w:afterAutospacing="0"/>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注：技术</w:t>
      </w:r>
      <w:r>
        <w:rPr>
          <w:rFonts w:hint="eastAsia" w:ascii="仿宋" w:hAnsi="仿宋" w:eastAsia="仿宋" w:cs="仿宋"/>
          <w:color w:val="auto"/>
          <w:highlight w:val="none"/>
          <w:lang w:val="en-US" w:eastAsia="zh-CN"/>
        </w:rPr>
        <w:t>部分服务方案</w:t>
      </w:r>
      <w:r>
        <w:rPr>
          <w:rFonts w:hint="eastAsia" w:ascii="仿宋" w:hAnsi="仿宋" w:eastAsia="仿宋" w:cs="仿宋"/>
          <w:color w:val="auto"/>
          <w:highlight w:val="none"/>
        </w:rPr>
        <w:t>不得重复标记、行间距保持一致、字体采用四号宋体不加粗、不得有错别字等，若出现上述情况，每一处扣0.5分，直至扣完技术分为止</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本项目技术</w:t>
      </w:r>
      <w:r>
        <w:rPr>
          <w:rFonts w:hint="eastAsia" w:ascii="仿宋" w:hAnsi="仿宋" w:eastAsia="仿宋" w:cs="仿宋"/>
          <w:color w:val="auto"/>
          <w:highlight w:val="none"/>
          <w:lang w:val="en-US" w:eastAsia="zh-CN"/>
        </w:rPr>
        <w:t>部分</w:t>
      </w:r>
      <w:r>
        <w:rPr>
          <w:rFonts w:hint="eastAsia" w:ascii="仿宋" w:hAnsi="仿宋" w:eastAsia="仿宋" w:cs="仿宋"/>
          <w:color w:val="auto"/>
          <w:highlight w:val="none"/>
        </w:rPr>
        <w:t>必须有针对性</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lang w:val="en-US" w:eastAsia="zh-CN"/>
        </w:rPr>
        <w:t>部分</w:t>
      </w:r>
      <w:r>
        <w:rPr>
          <w:rFonts w:hint="eastAsia" w:ascii="仿宋" w:hAnsi="仿宋" w:eastAsia="仿宋" w:cs="仿宋"/>
          <w:color w:val="auto"/>
          <w:highlight w:val="none"/>
          <w:lang w:eastAsia="zh-CN"/>
        </w:rPr>
        <w:t>方案应从客观实际出发，简明扼要进行阐述，技术</w:t>
      </w:r>
      <w:r>
        <w:rPr>
          <w:rFonts w:hint="eastAsia" w:ascii="仿宋" w:hAnsi="仿宋" w:eastAsia="仿宋" w:cs="仿宋"/>
          <w:color w:val="auto"/>
          <w:highlight w:val="none"/>
          <w:lang w:val="en-US" w:eastAsia="zh-CN"/>
        </w:rPr>
        <w:t>部分方案</w:t>
      </w:r>
      <w:r>
        <w:rPr>
          <w:rFonts w:hint="eastAsia" w:ascii="仿宋" w:hAnsi="仿宋" w:eastAsia="仿宋" w:cs="仿宋"/>
          <w:color w:val="auto"/>
          <w:highlight w:val="none"/>
          <w:lang w:eastAsia="zh-CN"/>
        </w:rPr>
        <w:t>页数应控制在</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00页内，超出页数阐述与项目无关内容，</w:t>
      </w:r>
      <w:r>
        <w:rPr>
          <w:rFonts w:hint="eastAsia" w:ascii="仿宋" w:hAnsi="仿宋" w:eastAsia="仿宋" w:cs="仿宋"/>
          <w:color w:val="auto"/>
          <w:highlight w:val="none"/>
          <w:lang w:val="en-US" w:eastAsia="zh-CN"/>
        </w:rPr>
        <w:t>磋商小组</w:t>
      </w:r>
      <w:r>
        <w:rPr>
          <w:rFonts w:hint="eastAsia" w:ascii="仿宋" w:hAnsi="仿宋" w:eastAsia="仿宋" w:cs="仿宋"/>
          <w:color w:val="auto"/>
          <w:highlight w:val="none"/>
          <w:lang w:eastAsia="zh-CN"/>
        </w:rPr>
        <w:t>可根据实际情况酌情扣分</w:t>
      </w:r>
      <w:r>
        <w:rPr>
          <w:rFonts w:hint="eastAsia" w:ascii="仿宋" w:hAnsi="仿宋" w:eastAsia="仿宋" w:cs="仿宋"/>
          <w:color w:val="auto"/>
          <w:highlight w:val="none"/>
        </w:rPr>
        <w:t>。</w:t>
      </w:r>
    </w:p>
    <w:p w14:paraId="48343A24">
      <w:pPr>
        <w:pStyle w:val="9"/>
        <w:widowControl/>
        <w:kinsoku/>
        <w:topLinePunct w:val="0"/>
        <w:autoSpaceDE w:val="0"/>
        <w:autoSpaceDN w:val="0"/>
        <w:bidi w:val="0"/>
        <w:adjustRightInd w:val="0"/>
        <w:snapToGrid w:val="0"/>
        <w:spacing w:before="1" w:line="220" w:lineRule="auto"/>
        <w:ind w:left="166"/>
        <w:rPr>
          <w:rFonts w:hint="eastAsia" w:ascii="仿宋" w:hAnsi="仿宋" w:eastAsia="仿宋" w:cs="仿宋"/>
          <w:color w:val="auto"/>
          <w:spacing w:val="-1"/>
          <w:sz w:val="22"/>
          <w:szCs w:val="22"/>
          <w:highlight w:val="none"/>
          <w:lang w:eastAsia="zh-CN"/>
          <w14:textOutline w14:w="4356" w14:cap="sq" w14:cmpd="sng" w14:algn="ctr">
            <w14:solidFill>
              <w14:srgbClr w14:val="000000"/>
            </w14:solidFill>
            <w14:prstDash w14:val="solid"/>
            <w14:bevel/>
          </w14:textOutline>
        </w:rPr>
      </w:pPr>
    </w:p>
    <w:p w14:paraId="15FB6404">
      <w:pPr>
        <w:pStyle w:val="9"/>
        <w:widowControl/>
        <w:kinsoku/>
        <w:topLinePunct w:val="0"/>
        <w:autoSpaceDE w:val="0"/>
        <w:autoSpaceDN w:val="0"/>
        <w:bidi w:val="0"/>
        <w:adjustRightInd w:val="0"/>
        <w:snapToGrid w:val="0"/>
        <w:spacing w:before="78" w:line="222" w:lineRule="auto"/>
        <w:ind w:left="64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3.价格分的计算</w:t>
      </w:r>
    </w:p>
    <w:p w14:paraId="162F85A0">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lang w:val="en-US" w:eastAsia="zh-CN"/>
        </w:rPr>
        <w:t>1</w:t>
      </w:r>
      <w:r>
        <w:rPr>
          <w:rFonts w:hint="eastAsia" w:ascii="仿宋" w:hAnsi="仿宋" w:eastAsia="仿宋" w:cs="仿宋"/>
          <w:color w:val="auto"/>
          <w:spacing w:val="-1"/>
          <w:sz w:val="22"/>
          <w:szCs w:val="22"/>
          <w:highlight w:val="none"/>
          <w:lang w:eastAsia="zh-CN"/>
        </w:rPr>
        <w:t>）价格分采用低价优先法计算，即满足采购文件要求的前提下，最低有效投标报价作为评标基准价，其价格分为满分。其余供应商价格分统一按照下列公式计算：</w:t>
      </w:r>
    </w:p>
    <w:p w14:paraId="4A567404">
      <w:pPr>
        <w:pStyle w:val="9"/>
        <w:widowControl/>
        <w:kinsoku/>
        <w:topLinePunct w:val="0"/>
        <w:autoSpaceDE w:val="0"/>
        <w:autoSpaceDN w:val="0"/>
        <w:bidi w:val="0"/>
        <w:adjustRightInd w:val="0"/>
        <w:snapToGrid w:val="0"/>
        <w:spacing w:before="78" w:line="222"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投标报价得分</w:t>
      </w:r>
      <w:r>
        <w:rPr>
          <w:rFonts w:hint="eastAsia" w:ascii="仿宋" w:hAnsi="仿宋" w:eastAsia="仿宋" w:cs="仿宋"/>
          <w:color w:val="auto"/>
          <w:spacing w:val="-31"/>
          <w:sz w:val="22"/>
          <w:szCs w:val="22"/>
          <w:highlight w:val="none"/>
          <w:lang w:eastAsia="zh-CN"/>
        </w:rPr>
        <w:t>＝（</w:t>
      </w:r>
      <w:r>
        <w:rPr>
          <w:rFonts w:hint="eastAsia" w:ascii="仿宋" w:hAnsi="仿宋" w:eastAsia="仿宋" w:cs="仿宋"/>
          <w:color w:val="auto"/>
          <w:sz w:val="22"/>
          <w:szCs w:val="22"/>
          <w:highlight w:val="none"/>
          <w:lang w:eastAsia="zh-CN"/>
        </w:rPr>
        <w:t>评标基准价／投标报价）×价格权值×100</w:t>
      </w:r>
    </w:p>
    <w:p w14:paraId="665AE1DA">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1"/>
          <w:sz w:val="22"/>
          <w:szCs w:val="22"/>
          <w:highlight w:val="none"/>
          <w:lang w:eastAsia="zh-CN"/>
        </w:rPr>
        <w:t>（投标文件的大写金额和小写金额不一致的，以大写金额为准；总价金额与按</w:t>
      </w:r>
      <w:r>
        <w:rPr>
          <w:rFonts w:hint="eastAsia" w:ascii="仿宋" w:hAnsi="仿宋" w:eastAsia="仿宋" w:cs="仿宋"/>
          <w:color w:val="auto"/>
          <w:spacing w:val="-3"/>
          <w:sz w:val="22"/>
          <w:szCs w:val="22"/>
          <w:highlight w:val="none"/>
          <w:lang w:eastAsia="zh-CN"/>
        </w:rPr>
        <w:t>单价汇总金额不一致的，以单价金额计算结果为准；单价金额小数点有明显错位的，</w:t>
      </w:r>
      <w:r>
        <w:rPr>
          <w:rFonts w:hint="eastAsia" w:ascii="仿宋" w:hAnsi="仿宋" w:eastAsia="仿宋" w:cs="仿宋"/>
          <w:color w:val="auto"/>
          <w:spacing w:val="-2"/>
          <w:sz w:val="22"/>
          <w:szCs w:val="22"/>
          <w:highlight w:val="none"/>
          <w:lang w:eastAsia="zh-CN"/>
        </w:rPr>
        <w:t>应以总价为准，并修改单价）</w:t>
      </w:r>
    </w:p>
    <w:p w14:paraId="49DE56A4">
      <w:pPr>
        <w:pStyle w:val="9"/>
        <w:widowControl/>
        <w:kinsoku/>
        <w:topLinePunct w:val="0"/>
        <w:autoSpaceDE w:val="0"/>
        <w:autoSpaceDN w:val="0"/>
        <w:bidi w:val="0"/>
        <w:adjustRightInd w:val="0"/>
        <w:snapToGrid w:val="0"/>
        <w:spacing w:before="78" w:line="359" w:lineRule="auto"/>
        <w:ind w:left="5" w:firstLine="480"/>
        <w:jc w:val="both"/>
        <w:rPr>
          <w:rFonts w:hint="eastAsia" w:ascii="仿宋" w:hAnsi="仿宋" w:eastAsia="仿宋" w:cs="仿宋"/>
          <w:color w:val="auto"/>
          <w:spacing w:val="-2"/>
          <w:sz w:val="22"/>
          <w:szCs w:val="22"/>
          <w:highlight w:val="none"/>
          <w:lang w:eastAsia="zh-CN"/>
        </w:rPr>
      </w:pPr>
    </w:p>
    <w:p w14:paraId="447FD29F">
      <w:pPr>
        <w:pStyle w:val="5"/>
        <w:keepNext/>
        <w:keepLines/>
        <w:pageBreakBefore/>
        <w:widowControl/>
        <w:kinsoku/>
        <w:wordWrap/>
        <w:overflowPunct/>
        <w:topLinePunct w:val="0"/>
        <w:autoSpaceDE w:val="0"/>
        <w:autoSpaceDN w:val="0"/>
        <w:bidi w:val="0"/>
        <w:adjustRightInd w:val="0"/>
        <w:snapToGrid w:val="0"/>
        <w:jc w:val="center"/>
        <w:textAlignment w:val="baseline"/>
        <w:rPr>
          <w:rFonts w:hint="eastAsia" w:ascii="仿宋" w:hAnsi="仿宋" w:eastAsia="仿宋" w:cs="仿宋"/>
          <w:color w:val="auto"/>
          <w:highlight w:val="none"/>
          <w:lang w:eastAsia="zh-CN"/>
        </w:rPr>
      </w:pPr>
      <w:bookmarkStart w:id="13" w:name="_Toc18786"/>
      <w:r>
        <w:rPr>
          <w:rFonts w:hint="eastAsia" w:ascii="仿宋" w:hAnsi="仿宋" w:eastAsia="仿宋" w:cs="仿宋"/>
          <w:color w:val="auto"/>
          <w:highlight w:val="none"/>
          <w:lang w:eastAsia="zh-CN"/>
        </w:rPr>
        <w:t>第二节废标条款（针对整个项目/品目）</w:t>
      </w:r>
      <w:bookmarkEnd w:id="13"/>
    </w:p>
    <w:p w14:paraId="35DF709A">
      <w:pPr>
        <w:pStyle w:val="9"/>
        <w:widowControl/>
        <w:kinsoku/>
        <w:topLinePunct w:val="0"/>
        <w:autoSpaceDE w:val="0"/>
        <w:autoSpaceDN w:val="0"/>
        <w:bidi w:val="0"/>
        <w:adjustRightInd w:val="0"/>
        <w:snapToGrid w:val="0"/>
        <w:spacing w:before="180" w:line="222" w:lineRule="auto"/>
        <w:ind w:left="50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出现下列情形之一的，本项目/品目给予废标，项目磋商终止：</w:t>
      </w:r>
    </w:p>
    <w:p w14:paraId="465E9766">
      <w:pPr>
        <w:pStyle w:val="9"/>
        <w:widowControl/>
        <w:kinsoku/>
        <w:topLinePunct w:val="0"/>
        <w:autoSpaceDE w:val="0"/>
        <w:autoSpaceDN w:val="0"/>
        <w:bidi w:val="0"/>
        <w:adjustRightInd w:val="0"/>
        <w:snapToGrid w:val="0"/>
        <w:spacing w:before="178"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1.符合专业条件的或对采购文件作实质响应的供应商不足三家的；</w:t>
      </w:r>
    </w:p>
    <w:p w14:paraId="676F4F4F">
      <w:pPr>
        <w:pStyle w:val="9"/>
        <w:widowControl/>
        <w:kinsoku/>
        <w:topLinePunct w:val="0"/>
        <w:autoSpaceDE w:val="0"/>
        <w:autoSpaceDN w:val="0"/>
        <w:bidi w:val="0"/>
        <w:adjustRightInd w:val="0"/>
        <w:snapToGrid w:val="0"/>
        <w:spacing w:before="1" w:line="220" w:lineRule="auto"/>
        <w:ind w:left="47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2.出现影响采购公正的违法、违规行为的；</w:t>
      </w:r>
    </w:p>
    <w:p w14:paraId="771DA711">
      <w:pPr>
        <w:pStyle w:val="9"/>
        <w:widowControl/>
        <w:kinsoku/>
        <w:topLinePunct w:val="0"/>
        <w:autoSpaceDE w:val="0"/>
        <w:autoSpaceDN w:val="0"/>
        <w:bidi w:val="0"/>
        <w:adjustRightInd w:val="0"/>
        <w:snapToGrid w:val="0"/>
        <w:spacing w:before="180" w:line="466"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3.供应商报价均超过了采购预算，采购人不能支付的；</w:t>
      </w:r>
    </w:p>
    <w:p w14:paraId="66B89F3F">
      <w:pPr>
        <w:pStyle w:val="9"/>
        <w:widowControl/>
        <w:kinsoku/>
        <w:topLinePunct w:val="0"/>
        <w:autoSpaceDE w:val="0"/>
        <w:autoSpaceDN w:val="0"/>
        <w:bidi w:val="0"/>
        <w:adjustRightInd w:val="0"/>
        <w:snapToGrid w:val="0"/>
        <w:spacing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4.因重大变故，采购任务取消的。</w:t>
      </w:r>
    </w:p>
    <w:p w14:paraId="151D974E">
      <w:pPr>
        <w:pStyle w:val="5"/>
        <w:widowControl/>
        <w:kinsoku/>
        <w:topLinePunct w:val="0"/>
        <w:autoSpaceDE w:val="0"/>
        <w:autoSpaceDN w:val="0"/>
        <w:bidi w:val="0"/>
        <w:adjustRightInd w:val="0"/>
        <w:snapToGrid w:val="0"/>
        <w:jc w:val="center"/>
        <w:rPr>
          <w:rFonts w:hint="eastAsia" w:ascii="仿宋" w:hAnsi="仿宋" w:eastAsia="仿宋" w:cs="仿宋"/>
          <w:color w:val="auto"/>
          <w:highlight w:val="none"/>
          <w:lang w:eastAsia="zh-CN"/>
        </w:rPr>
      </w:pPr>
      <w:bookmarkStart w:id="14" w:name="_Toc5915"/>
      <w:r>
        <w:rPr>
          <w:rFonts w:hint="eastAsia" w:ascii="仿宋" w:hAnsi="仿宋" w:eastAsia="仿宋" w:cs="仿宋"/>
          <w:color w:val="auto"/>
          <w:highlight w:val="none"/>
          <w:lang w:eastAsia="zh-CN"/>
        </w:rPr>
        <w:t>第三节无效标条款（针对单个供应商）</w:t>
      </w:r>
      <w:bookmarkEnd w:id="14"/>
    </w:p>
    <w:p w14:paraId="66217B80">
      <w:pPr>
        <w:pStyle w:val="9"/>
        <w:widowControl/>
        <w:kinsoku/>
        <w:topLinePunct w:val="0"/>
        <w:autoSpaceDE w:val="0"/>
        <w:autoSpaceDN w:val="0"/>
        <w:bidi w:val="0"/>
        <w:adjustRightInd w:val="0"/>
        <w:snapToGrid w:val="0"/>
        <w:spacing w:before="178" w:line="466" w:lineRule="exact"/>
        <w:ind w:firstLine="436" w:firstLineChars="20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出现下列情形之一的，供应商递交的响应性文件作无效磋商处理，该供应商的响应性文件不参与评审：</w:t>
      </w:r>
    </w:p>
    <w:p w14:paraId="02736D1B">
      <w:pPr>
        <w:pStyle w:val="9"/>
        <w:widowControl/>
        <w:kinsoku/>
        <w:topLinePunct w:val="0"/>
        <w:autoSpaceDE w:val="0"/>
        <w:autoSpaceDN w:val="0"/>
        <w:bidi w:val="0"/>
        <w:adjustRightInd w:val="0"/>
        <w:snapToGrid w:val="0"/>
        <w:spacing w:before="180" w:line="220"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1.递交的响应性文件未按本采购文件要求</w:t>
      </w:r>
      <w:r>
        <w:rPr>
          <w:rFonts w:hint="eastAsia" w:cs="仿宋"/>
          <w:color w:val="auto"/>
          <w:spacing w:val="-2"/>
          <w:sz w:val="22"/>
          <w:szCs w:val="22"/>
          <w:highlight w:val="none"/>
          <w:lang w:val="en-US" w:eastAsia="zh-CN"/>
        </w:rPr>
        <w:t>递交</w:t>
      </w:r>
      <w:r>
        <w:rPr>
          <w:rFonts w:hint="eastAsia" w:ascii="仿宋" w:hAnsi="仿宋" w:eastAsia="仿宋" w:cs="仿宋"/>
          <w:color w:val="auto"/>
          <w:spacing w:val="-2"/>
          <w:sz w:val="22"/>
          <w:szCs w:val="22"/>
          <w:highlight w:val="none"/>
          <w:lang w:eastAsia="zh-CN"/>
        </w:rPr>
        <w:t>的；</w:t>
      </w:r>
    </w:p>
    <w:p w14:paraId="4DB588BC">
      <w:pPr>
        <w:pStyle w:val="9"/>
        <w:widowControl/>
        <w:kinsoku/>
        <w:topLinePunct w:val="0"/>
        <w:autoSpaceDE w:val="0"/>
        <w:autoSpaceDN w:val="0"/>
        <w:bidi w:val="0"/>
        <w:adjustRightInd w:val="0"/>
        <w:snapToGrid w:val="0"/>
        <w:spacing w:before="182" w:line="222" w:lineRule="auto"/>
        <w:ind w:left="478"/>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2.供应商的参会代表未按本采购文件规定时间参加开标会议</w:t>
      </w:r>
      <w:r>
        <w:rPr>
          <w:rFonts w:hint="eastAsia" w:cs="仿宋"/>
          <w:strike w:val="0"/>
          <w:dstrike w:val="0"/>
          <w:color w:val="auto"/>
          <w:spacing w:val="-1"/>
          <w:sz w:val="22"/>
          <w:szCs w:val="22"/>
          <w:highlight w:val="none"/>
          <w:lang w:val="en-US" w:eastAsia="zh-CN"/>
        </w:rPr>
        <w:t>或进行电子投标文件解密</w:t>
      </w:r>
      <w:r>
        <w:rPr>
          <w:rFonts w:hint="eastAsia" w:ascii="仿宋" w:hAnsi="仿宋" w:eastAsia="仿宋" w:cs="仿宋"/>
          <w:strike w:val="0"/>
          <w:dstrike w:val="0"/>
          <w:color w:val="auto"/>
          <w:spacing w:val="-1"/>
          <w:sz w:val="22"/>
          <w:szCs w:val="22"/>
          <w:highlight w:val="none"/>
          <w:lang w:eastAsia="zh-CN"/>
        </w:rPr>
        <w:t>的；</w:t>
      </w:r>
    </w:p>
    <w:p w14:paraId="28B8D1B7">
      <w:pPr>
        <w:pStyle w:val="9"/>
        <w:widowControl/>
        <w:kinsoku/>
        <w:topLinePunct w:val="0"/>
        <w:autoSpaceDE w:val="0"/>
        <w:autoSpaceDN w:val="0"/>
        <w:bidi w:val="0"/>
        <w:adjustRightInd w:val="0"/>
        <w:snapToGrid w:val="0"/>
        <w:spacing w:before="177" w:line="360" w:lineRule="auto"/>
        <w:ind w:left="7" w:firstLine="472"/>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z w:val="22"/>
          <w:szCs w:val="22"/>
          <w:highlight w:val="none"/>
          <w:lang w:eastAsia="zh-CN"/>
        </w:rPr>
        <w:t>3.递交的响应性文件不完整或未按采购文件</w:t>
      </w:r>
      <w:r>
        <w:rPr>
          <w:rFonts w:hint="eastAsia" w:ascii="仿宋" w:hAnsi="仿宋" w:eastAsia="仿宋" w:cs="仿宋"/>
          <w:strike w:val="0"/>
          <w:dstrike w:val="0"/>
          <w:color w:val="auto"/>
          <w:spacing w:val="-1"/>
          <w:sz w:val="22"/>
          <w:szCs w:val="22"/>
          <w:highlight w:val="none"/>
          <w:lang w:eastAsia="zh-CN"/>
        </w:rPr>
        <w:t>要求包封套、密封、标识和签署的（多余标识和签署的除外</w:t>
      </w:r>
      <w:r>
        <w:rPr>
          <w:rFonts w:hint="eastAsia" w:ascii="仿宋" w:hAnsi="仿宋" w:eastAsia="仿宋" w:cs="仿宋"/>
          <w:strike w:val="0"/>
          <w:dstrike w:val="0"/>
          <w:color w:val="auto"/>
          <w:spacing w:val="10"/>
          <w:sz w:val="22"/>
          <w:szCs w:val="22"/>
          <w:highlight w:val="none"/>
          <w:lang w:eastAsia="zh-CN"/>
        </w:rPr>
        <w:t>）</w:t>
      </w:r>
      <w:r>
        <w:rPr>
          <w:rFonts w:hint="eastAsia" w:ascii="仿宋" w:hAnsi="仿宋" w:eastAsia="仿宋" w:cs="仿宋"/>
          <w:strike w:val="0"/>
          <w:dstrike w:val="0"/>
          <w:color w:val="auto"/>
          <w:spacing w:val="-3"/>
          <w:sz w:val="22"/>
          <w:szCs w:val="22"/>
          <w:highlight w:val="none"/>
          <w:lang w:eastAsia="zh-CN"/>
        </w:rPr>
        <w:t>；</w:t>
      </w:r>
    </w:p>
    <w:p w14:paraId="2858A2FD">
      <w:pPr>
        <w:pStyle w:val="9"/>
        <w:widowControl/>
        <w:kinsoku/>
        <w:topLinePunct w:val="0"/>
        <w:autoSpaceDE w:val="0"/>
        <w:autoSpaceDN w:val="0"/>
        <w:bidi w:val="0"/>
        <w:adjustRightInd w:val="0"/>
        <w:snapToGrid w:val="0"/>
        <w:spacing w:before="177" w:line="465" w:lineRule="exact"/>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4.供应商参会代表应出示的证件不齐或证件无效的；</w:t>
      </w:r>
    </w:p>
    <w:p w14:paraId="7595A944">
      <w:pPr>
        <w:pStyle w:val="9"/>
        <w:widowControl/>
        <w:kinsoku/>
        <w:topLinePunct w:val="0"/>
        <w:autoSpaceDE w:val="0"/>
        <w:autoSpaceDN w:val="0"/>
        <w:bidi w:val="0"/>
        <w:adjustRightInd w:val="0"/>
        <w:snapToGrid w:val="0"/>
        <w:spacing w:before="2" w:line="220"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5.供应商不符合国家及采购文件规定的资格条件的；</w:t>
      </w:r>
    </w:p>
    <w:p w14:paraId="041881E8">
      <w:pPr>
        <w:pStyle w:val="9"/>
        <w:widowControl/>
        <w:kinsoku/>
        <w:topLinePunct w:val="0"/>
        <w:autoSpaceDE w:val="0"/>
        <w:autoSpaceDN w:val="0"/>
        <w:bidi w:val="0"/>
        <w:adjustRightInd w:val="0"/>
        <w:snapToGrid w:val="0"/>
        <w:spacing w:before="180" w:line="468" w:lineRule="exact"/>
        <w:ind w:left="47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6.同一供应商提交两个及以上不同的响应性文件或者投标报价的；</w:t>
      </w:r>
    </w:p>
    <w:p w14:paraId="4064E4D2">
      <w:pPr>
        <w:pStyle w:val="9"/>
        <w:widowControl/>
        <w:kinsoku/>
        <w:topLinePunct w:val="0"/>
        <w:autoSpaceDE w:val="0"/>
        <w:autoSpaceDN w:val="0"/>
        <w:bidi w:val="0"/>
        <w:adjustRightInd w:val="0"/>
        <w:snapToGrid w:val="0"/>
        <w:spacing w:before="1" w:line="221"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7.不按磋商小组要求澄清、说明或补正的；</w:t>
      </w:r>
    </w:p>
    <w:p w14:paraId="442D74C6">
      <w:pPr>
        <w:pStyle w:val="9"/>
        <w:widowControl/>
        <w:kinsoku/>
        <w:topLinePunct w:val="0"/>
        <w:autoSpaceDE w:val="0"/>
        <w:autoSpaceDN w:val="0"/>
        <w:bidi w:val="0"/>
        <w:adjustRightInd w:val="0"/>
        <w:snapToGrid w:val="0"/>
        <w:spacing w:before="178"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position w:val="17"/>
          <w:sz w:val="22"/>
          <w:szCs w:val="22"/>
          <w:highlight w:val="none"/>
          <w:lang w:eastAsia="zh-CN"/>
        </w:rPr>
        <w:t>8.磋商小组认定供应商的投标不符合初步审查表中</w:t>
      </w:r>
      <w:r>
        <w:rPr>
          <w:rFonts w:hint="eastAsia" w:ascii="仿宋" w:hAnsi="仿宋" w:eastAsia="仿宋" w:cs="仿宋"/>
          <w:color w:val="auto"/>
          <w:spacing w:val="-1"/>
          <w:position w:val="17"/>
          <w:sz w:val="22"/>
          <w:szCs w:val="22"/>
          <w:highlight w:val="none"/>
          <w:lang w:eastAsia="zh-CN"/>
        </w:rPr>
        <w:t>规定的任何一项评审标准</w:t>
      </w:r>
    </w:p>
    <w:p w14:paraId="6FF49695">
      <w:pPr>
        <w:pStyle w:val="9"/>
        <w:widowControl/>
        <w:kinsoku/>
        <w:topLinePunct w:val="0"/>
        <w:autoSpaceDE w:val="0"/>
        <w:autoSpaceDN w:val="0"/>
        <w:bidi w:val="0"/>
        <w:adjustRightInd w:val="0"/>
        <w:snapToGrid w:val="0"/>
        <w:spacing w:line="222" w:lineRule="auto"/>
        <w:ind w:left="1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5"/>
          <w:sz w:val="22"/>
          <w:szCs w:val="22"/>
          <w:highlight w:val="none"/>
          <w:lang w:eastAsia="zh-CN"/>
        </w:rPr>
        <w:t>的；</w:t>
      </w:r>
    </w:p>
    <w:p w14:paraId="13F052E0">
      <w:pPr>
        <w:pStyle w:val="9"/>
        <w:widowControl/>
        <w:kinsoku/>
        <w:topLinePunct w:val="0"/>
        <w:autoSpaceDE w:val="0"/>
        <w:autoSpaceDN w:val="0"/>
        <w:bidi w:val="0"/>
        <w:adjustRightInd w:val="0"/>
        <w:snapToGrid w:val="0"/>
        <w:spacing w:before="177"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9.响应文件对本采购文件需承诺内容未作出承诺的。</w:t>
      </w:r>
    </w:p>
    <w:p w14:paraId="16459353">
      <w:pPr>
        <w:pStyle w:val="9"/>
        <w:widowControl/>
        <w:kinsoku/>
        <w:topLinePunct w:val="0"/>
        <w:autoSpaceDE w:val="0"/>
        <w:autoSpaceDN w:val="0"/>
        <w:bidi w:val="0"/>
        <w:adjustRightInd w:val="0"/>
        <w:snapToGrid w:val="0"/>
        <w:spacing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10.投标报价经评审委员会认定低于成本价的；</w:t>
      </w:r>
    </w:p>
    <w:p w14:paraId="1E05F87F">
      <w:pPr>
        <w:pStyle w:val="9"/>
        <w:widowControl/>
        <w:kinsoku/>
        <w:topLinePunct w:val="0"/>
        <w:autoSpaceDE w:val="0"/>
        <w:autoSpaceDN w:val="0"/>
        <w:bidi w:val="0"/>
        <w:adjustRightInd w:val="0"/>
        <w:snapToGrid w:val="0"/>
        <w:spacing w:before="176"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11.投标报价高于采购文件载明的财政预算控制</w:t>
      </w:r>
      <w:r>
        <w:rPr>
          <w:rFonts w:hint="eastAsia" w:ascii="仿宋" w:hAnsi="仿宋" w:eastAsia="仿宋" w:cs="仿宋"/>
          <w:color w:val="auto"/>
          <w:spacing w:val="-2"/>
          <w:sz w:val="22"/>
          <w:szCs w:val="22"/>
          <w:highlight w:val="none"/>
          <w:lang w:eastAsia="zh-CN"/>
        </w:rPr>
        <w:t>价的；</w:t>
      </w:r>
    </w:p>
    <w:p w14:paraId="145E6429">
      <w:pPr>
        <w:pStyle w:val="9"/>
        <w:widowControl/>
        <w:kinsoku/>
        <w:topLinePunct w:val="0"/>
        <w:autoSpaceDE w:val="0"/>
        <w:autoSpaceDN w:val="0"/>
        <w:bidi w:val="0"/>
        <w:adjustRightInd w:val="0"/>
        <w:snapToGrid w:val="0"/>
        <w:spacing w:before="180"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12.响应性文件未对采购文件的实质性要求和条件做出响应的；</w:t>
      </w:r>
    </w:p>
    <w:p w14:paraId="41625664">
      <w:pPr>
        <w:pStyle w:val="9"/>
        <w:widowControl/>
        <w:kinsoku/>
        <w:topLinePunct w:val="0"/>
        <w:autoSpaceDE w:val="0"/>
        <w:autoSpaceDN w:val="0"/>
        <w:bidi w:val="0"/>
        <w:adjustRightInd w:val="0"/>
        <w:snapToGrid w:val="0"/>
        <w:spacing w:line="219"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13.供应商有串通投标、弄虚作假、行贿等违法行为</w:t>
      </w:r>
      <w:r>
        <w:rPr>
          <w:rFonts w:hint="eastAsia" w:ascii="仿宋" w:hAnsi="仿宋" w:eastAsia="仿宋" w:cs="仿宋"/>
          <w:color w:val="auto"/>
          <w:spacing w:val="-2"/>
          <w:sz w:val="22"/>
          <w:szCs w:val="22"/>
          <w:highlight w:val="none"/>
          <w:lang w:eastAsia="zh-CN"/>
        </w:rPr>
        <w:t>的；</w:t>
      </w:r>
    </w:p>
    <w:p w14:paraId="68364D6A">
      <w:pPr>
        <w:pStyle w:val="9"/>
        <w:widowControl/>
        <w:kinsoku/>
        <w:topLinePunct w:val="0"/>
        <w:autoSpaceDE w:val="0"/>
        <w:autoSpaceDN w:val="0"/>
        <w:bidi w:val="0"/>
        <w:adjustRightInd w:val="0"/>
        <w:snapToGrid w:val="0"/>
        <w:spacing w:before="183"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14.有下列情形之一的，视为供应商串通投标，其投标无效：</w:t>
      </w:r>
    </w:p>
    <w:p w14:paraId="5F5211C0">
      <w:pPr>
        <w:pStyle w:val="9"/>
        <w:widowControl/>
        <w:kinsoku/>
        <w:topLinePunct w:val="0"/>
        <w:autoSpaceDE w:val="0"/>
        <w:autoSpaceDN w:val="0"/>
        <w:bidi w:val="0"/>
        <w:adjustRightInd w:val="0"/>
        <w:snapToGrid w:val="0"/>
        <w:spacing w:before="1" w:line="220" w:lineRule="auto"/>
        <w:ind w:left="48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（一）不同供应商的投标文件由同一单位或者个人编制；</w:t>
      </w:r>
    </w:p>
    <w:p w14:paraId="41835E39">
      <w:pPr>
        <w:pStyle w:val="9"/>
        <w:widowControl/>
        <w:kinsoku/>
        <w:topLinePunct w:val="0"/>
        <w:autoSpaceDE w:val="0"/>
        <w:autoSpaceDN w:val="0"/>
        <w:bidi w:val="0"/>
        <w:adjustRightInd w:val="0"/>
        <w:snapToGrid w:val="0"/>
        <w:spacing w:before="180" w:line="221" w:lineRule="auto"/>
        <w:ind w:left="487"/>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1"/>
          <w:sz w:val="22"/>
          <w:szCs w:val="22"/>
          <w:highlight w:val="none"/>
          <w:lang w:eastAsia="zh-CN"/>
        </w:rPr>
        <w:t>（二）不同供应商委托同一单位或者个人办理投标事宜；</w:t>
      </w:r>
    </w:p>
    <w:p w14:paraId="66D044D4">
      <w:pPr>
        <w:pStyle w:val="9"/>
        <w:widowControl/>
        <w:kinsoku/>
        <w:topLinePunct w:val="0"/>
        <w:autoSpaceDE w:val="0"/>
        <w:autoSpaceDN w:val="0"/>
        <w:bidi w:val="0"/>
        <w:adjustRightInd w:val="0"/>
        <w:snapToGrid w:val="0"/>
        <w:spacing w:before="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（三）不同供应商的投标文件载明的项目管理成员或者联系人员为同一人；</w:t>
      </w:r>
    </w:p>
    <w:p w14:paraId="5E5FC64F">
      <w:pPr>
        <w:pStyle w:val="9"/>
        <w:widowControl/>
        <w:kinsoku/>
        <w:topLinePunct w:val="0"/>
        <w:autoSpaceDE w:val="0"/>
        <w:autoSpaceDN w:val="0"/>
        <w:bidi w:val="0"/>
        <w:adjustRightInd w:val="0"/>
        <w:snapToGrid w:val="0"/>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（四）不同供应商的投标文件异常一致或者投标报价呈规律性差异；</w:t>
      </w:r>
    </w:p>
    <w:p w14:paraId="43ABD44B">
      <w:pPr>
        <w:pStyle w:val="9"/>
        <w:widowControl/>
        <w:kinsoku/>
        <w:topLinePunct w:val="0"/>
        <w:autoSpaceDE w:val="0"/>
        <w:autoSpaceDN w:val="0"/>
        <w:bidi w:val="0"/>
        <w:adjustRightInd w:val="0"/>
        <w:snapToGrid w:val="0"/>
        <w:spacing w:before="1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（五）不同供应商的投标文件相互混装；</w:t>
      </w:r>
    </w:p>
    <w:p w14:paraId="3738DA9D">
      <w:pPr>
        <w:pStyle w:val="9"/>
        <w:widowControl/>
        <w:kinsoku/>
        <w:topLinePunct w:val="0"/>
        <w:autoSpaceDE w:val="0"/>
        <w:autoSpaceDN w:val="0"/>
        <w:bidi w:val="0"/>
        <w:adjustRightInd w:val="0"/>
        <w:snapToGrid w:val="0"/>
        <w:spacing w:before="179" w:line="219"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（六）不同供应商的投标保证金从同一单位或者个人的账户转出。</w:t>
      </w:r>
    </w:p>
    <w:p w14:paraId="4D7EC6B7">
      <w:pPr>
        <w:pStyle w:val="9"/>
        <w:widowControl/>
        <w:kinsoku/>
        <w:topLinePunct w:val="0"/>
        <w:autoSpaceDE w:val="0"/>
        <w:autoSpaceDN w:val="0"/>
        <w:bidi w:val="0"/>
        <w:adjustRightInd w:val="0"/>
        <w:snapToGrid w:val="0"/>
        <w:spacing w:before="176" w:line="220" w:lineRule="auto"/>
        <w:ind w:left="481"/>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15.未交纳投标保证金的；</w:t>
      </w:r>
    </w:p>
    <w:p w14:paraId="14AF3F9F">
      <w:pPr>
        <w:pStyle w:val="9"/>
        <w:widowControl/>
        <w:kinsoku/>
        <w:topLinePunct w:val="0"/>
        <w:autoSpaceDE w:val="0"/>
        <w:autoSpaceDN w:val="0"/>
        <w:bidi w:val="0"/>
        <w:adjustRightInd w:val="0"/>
        <w:snapToGrid w:val="0"/>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16.单位负责人为同一人或者存在直接控股、管理关系的不同供应商，不得参加同一合同项下的政府采购活动。</w:t>
      </w:r>
    </w:p>
    <w:p w14:paraId="43F20617">
      <w:pPr>
        <w:pStyle w:val="9"/>
        <w:widowControl/>
        <w:kinsoku/>
        <w:topLinePunct w:val="0"/>
        <w:autoSpaceDE w:val="0"/>
        <w:autoSpaceDN w:val="0"/>
        <w:bidi w:val="0"/>
        <w:adjustRightInd w:val="0"/>
        <w:snapToGrid w:val="0"/>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17.为本项目提供整体设计、规范编制或者项目管理、监理、检测等服务的供应商参加本采购项目的。</w:t>
      </w:r>
    </w:p>
    <w:p w14:paraId="3A094C2D">
      <w:pPr>
        <w:pStyle w:val="9"/>
        <w:widowControl/>
        <w:kinsoku/>
        <w:topLinePunct w:val="0"/>
        <w:autoSpaceDE w:val="0"/>
        <w:autoSpaceDN w:val="0"/>
        <w:bidi w:val="0"/>
        <w:adjustRightInd w:val="0"/>
        <w:snapToGrid w:val="0"/>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18.违反政府采购法律法规，足以导致响应文件无效的情形。</w:t>
      </w:r>
    </w:p>
    <w:bookmarkEnd w:id="15"/>
    <w:sectPr>
      <w:headerReference r:id="rId9" w:type="default"/>
      <w:footerReference r:id="rId10" w:type="default"/>
      <w:pgSz w:w="11905" w:h="16838"/>
      <w:pgMar w:top="850" w:right="1134" w:bottom="850" w:left="1134" w:header="0" w:footer="78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7A7F">
    <w:pPr>
      <w:pStyle w:val="9"/>
      <w:spacing w:line="212" w:lineRule="auto"/>
      <w:ind w:left="379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55B5E">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055B5E">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7A8F">
    <w:pPr>
      <w:pStyle w:val="9"/>
      <w:spacing w:line="212" w:lineRule="auto"/>
      <w:ind w:left="397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ED531">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9ED531">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5DF">
    <w:pPr>
      <w:pStyle w:val="9"/>
      <w:spacing w:line="212" w:lineRule="auto"/>
      <w:ind w:left="395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A72AA">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81A72AA">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8E9D">
    <w:pPr>
      <w:pStyle w:val="9"/>
      <w:spacing w:line="212" w:lineRule="auto"/>
      <w:ind w:left="395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A230">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9C1A230">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2330">
    <w:pPr>
      <w:pStyle w:val="9"/>
      <w:spacing w:line="212" w:lineRule="auto"/>
      <w:ind w:left="39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D6B8E">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8DD6B8E">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9675">
    <w:pPr>
      <w:pStyle w:val="9"/>
      <w:spacing w:line="212"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107E0">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14107E0">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BD72">
    <w:pPr>
      <w:pStyle w:val="9"/>
      <w:spacing w:line="212" w:lineRule="auto"/>
      <w:ind w:left="3602"/>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E09E">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DE3E09E">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D933">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ABCA3"/>
    <w:multiLevelType w:val="singleLevel"/>
    <w:tmpl w:val="CD1ABCA3"/>
    <w:lvl w:ilvl="0" w:tentative="0">
      <w:start w:val="1"/>
      <w:numFmt w:val="decimal"/>
      <w:suff w:val="nothing"/>
      <w:lvlText w:val="%1、"/>
      <w:lvlJc w:val="left"/>
    </w:lvl>
  </w:abstractNum>
  <w:abstractNum w:abstractNumId="1">
    <w:nsid w:val="E617DA5B"/>
    <w:multiLevelType w:val="singleLevel"/>
    <w:tmpl w:val="E617DA5B"/>
    <w:lvl w:ilvl="0" w:tentative="0">
      <w:start w:val="1"/>
      <w:numFmt w:val="decimal"/>
      <w:suff w:val="nothing"/>
      <w:lvlText w:val="%1、"/>
      <w:lvlJc w:val="left"/>
    </w:lvl>
  </w:abstractNum>
  <w:abstractNum w:abstractNumId="2">
    <w:nsid w:val="FB781663"/>
    <w:multiLevelType w:val="singleLevel"/>
    <w:tmpl w:val="FB781663"/>
    <w:lvl w:ilvl="0" w:tentative="0">
      <w:start w:val="1"/>
      <w:numFmt w:val="decimal"/>
      <w:suff w:val="nothing"/>
      <w:lvlText w:val="（%1）"/>
      <w:lvlJc w:val="left"/>
      <w:pPr>
        <w:ind w:left="83"/>
      </w:pPr>
    </w:lvl>
  </w:abstractNum>
  <w:abstractNum w:abstractNumId="3">
    <w:nsid w:val="68B83288"/>
    <w:multiLevelType w:val="singleLevel"/>
    <w:tmpl w:val="68B83288"/>
    <w:lvl w:ilvl="0" w:tentative="0">
      <w:start w:val="1"/>
      <w:numFmt w:val="decimal"/>
      <w:suff w:val="nothing"/>
      <w:lvlText w:val="（%1）"/>
      <w:lvlJc w:val="left"/>
    </w:lvl>
  </w:abstractNum>
  <w:abstractNum w:abstractNumId="4">
    <w:nsid w:val="6B0370DA"/>
    <w:multiLevelType w:val="singleLevel"/>
    <w:tmpl w:val="6B0370DA"/>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337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U2YTE3N2Y1MWQ4MDA4YTE5M2FmZGI1OWQ2YWNjNTUifQ=="/>
    <w:docVar w:name="KSO_WPS_MARK_KEY" w:val="6e2ab25e-78b3-4bde-91d7-af2bb20ae96d"/>
  </w:docVars>
  <w:rsids>
    <w:rsidRoot w:val="00B57C94"/>
    <w:rsid w:val="000039CB"/>
    <w:rsid w:val="000335DF"/>
    <w:rsid w:val="000D4B68"/>
    <w:rsid w:val="000E419A"/>
    <w:rsid w:val="00106D71"/>
    <w:rsid w:val="0012243D"/>
    <w:rsid w:val="0014177E"/>
    <w:rsid w:val="0024229A"/>
    <w:rsid w:val="002E2DC9"/>
    <w:rsid w:val="002F3322"/>
    <w:rsid w:val="00303D69"/>
    <w:rsid w:val="00364B32"/>
    <w:rsid w:val="00366DD7"/>
    <w:rsid w:val="00380738"/>
    <w:rsid w:val="003C768D"/>
    <w:rsid w:val="00404702"/>
    <w:rsid w:val="00422E89"/>
    <w:rsid w:val="00524B96"/>
    <w:rsid w:val="005E55F8"/>
    <w:rsid w:val="00696660"/>
    <w:rsid w:val="007325CD"/>
    <w:rsid w:val="0078768E"/>
    <w:rsid w:val="007B0EAA"/>
    <w:rsid w:val="007C1C42"/>
    <w:rsid w:val="007E097A"/>
    <w:rsid w:val="008A066F"/>
    <w:rsid w:val="008B3AED"/>
    <w:rsid w:val="009177D0"/>
    <w:rsid w:val="00926453"/>
    <w:rsid w:val="0093550C"/>
    <w:rsid w:val="00950240"/>
    <w:rsid w:val="00975D4B"/>
    <w:rsid w:val="009C10F3"/>
    <w:rsid w:val="00A53FD8"/>
    <w:rsid w:val="00AA074F"/>
    <w:rsid w:val="00AB15CF"/>
    <w:rsid w:val="00AD2404"/>
    <w:rsid w:val="00AE6C90"/>
    <w:rsid w:val="00B57C94"/>
    <w:rsid w:val="00BA7B43"/>
    <w:rsid w:val="00BC3886"/>
    <w:rsid w:val="00C84B8C"/>
    <w:rsid w:val="00CA0A04"/>
    <w:rsid w:val="00D27641"/>
    <w:rsid w:val="00D3071E"/>
    <w:rsid w:val="00DF387C"/>
    <w:rsid w:val="00E02577"/>
    <w:rsid w:val="00E30FAC"/>
    <w:rsid w:val="00E96565"/>
    <w:rsid w:val="00F11057"/>
    <w:rsid w:val="00F84DFA"/>
    <w:rsid w:val="01A050EF"/>
    <w:rsid w:val="01AE12BB"/>
    <w:rsid w:val="01CE46E8"/>
    <w:rsid w:val="02A9251A"/>
    <w:rsid w:val="03000688"/>
    <w:rsid w:val="033930D8"/>
    <w:rsid w:val="039013AB"/>
    <w:rsid w:val="04E042F1"/>
    <w:rsid w:val="04E13A54"/>
    <w:rsid w:val="066E7813"/>
    <w:rsid w:val="0749768F"/>
    <w:rsid w:val="07AA5727"/>
    <w:rsid w:val="07ED49FF"/>
    <w:rsid w:val="082F0F7A"/>
    <w:rsid w:val="084E2FCC"/>
    <w:rsid w:val="085B3B1D"/>
    <w:rsid w:val="09CF2F0C"/>
    <w:rsid w:val="0A434869"/>
    <w:rsid w:val="0A5F68EB"/>
    <w:rsid w:val="0A8C02D1"/>
    <w:rsid w:val="0B985A53"/>
    <w:rsid w:val="0C3A7719"/>
    <w:rsid w:val="0C9B7E8F"/>
    <w:rsid w:val="0CD410B1"/>
    <w:rsid w:val="0D353EDE"/>
    <w:rsid w:val="0D4C612B"/>
    <w:rsid w:val="0DFA4C23"/>
    <w:rsid w:val="0EDC00E0"/>
    <w:rsid w:val="0EE02FCE"/>
    <w:rsid w:val="0F89461E"/>
    <w:rsid w:val="1063464C"/>
    <w:rsid w:val="10B71B0D"/>
    <w:rsid w:val="111F7DDE"/>
    <w:rsid w:val="115E1B98"/>
    <w:rsid w:val="122D2087"/>
    <w:rsid w:val="12946223"/>
    <w:rsid w:val="12AB56A1"/>
    <w:rsid w:val="131957FA"/>
    <w:rsid w:val="13B14F39"/>
    <w:rsid w:val="148F7029"/>
    <w:rsid w:val="14B55122"/>
    <w:rsid w:val="14F0383F"/>
    <w:rsid w:val="14F343FA"/>
    <w:rsid w:val="150B3CA0"/>
    <w:rsid w:val="17516817"/>
    <w:rsid w:val="17BD5C5B"/>
    <w:rsid w:val="17E72CD8"/>
    <w:rsid w:val="187327BD"/>
    <w:rsid w:val="1977451D"/>
    <w:rsid w:val="1981715C"/>
    <w:rsid w:val="1A0A7151"/>
    <w:rsid w:val="1A7D7923"/>
    <w:rsid w:val="1C27223D"/>
    <w:rsid w:val="1C4E5A1B"/>
    <w:rsid w:val="1D7900A0"/>
    <w:rsid w:val="1E0C5091"/>
    <w:rsid w:val="1ECE5E00"/>
    <w:rsid w:val="1F3F164B"/>
    <w:rsid w:val="1F604BD9"/>
    <w:rsid w:val="1F9505C2"/>
    <w:rsid w:val="200722CC"/>
    <w:rsid w:val="205C6E09"/>
    <w:rsid w:val="20845B9B"/>
    <w:rsid w:val="20A640F5"/>
    <w:rsid w:val="237A5348"/>
    <w:rsid w:val="2452597D"/>
    <w:rsid w:val="24FB50D0"/>
    <w:rsid w:val="26187585"/>
    <w:rsid w:val="27C748D4"/>
    <w:rsid w:val="284F6DA3"/>
    <w:rsid w:val="295B3526"/>
    <w:rsid w:val="296E14AB"/>
    <w:rsid w:val="29902876"/>
    <w:rsid w:val="29CE3CF8"/>
    <w:rsid w:val="29DD60BB"/>
    <w:rsid w:val="2A3873C3"/>
    <w:rsid w:val="2A3A138D"/>
    <w:rsid w:val="2B373B1E"/>
    <w:rsid w:val="2B3E4EAD"/>
    <w:rsid w:val="2C1B6F9C"/>
    <w:rsid w:val="2DB90606"/>
    <w:rsid w:val="2FEE50F3"/>
    <w:rsid w:val="31C679AA"/>
    <w:rsid w:val="321A21C3"/>
    <w:rsid w:val="32870EE7"/>
    <w:rsid w:val="328C29A2"/>
    <w:rsid w:val="335C6818"/>
    <w:rsid w:val="33AA7BD5"/>
    <w:rsid w:val="351F6D34"/>
    <w:rsid w:val="3587034C"/>
    <w:rsid w:val="35B91D00"/>
    <w:rsid w:val="39BF2DC2"/>
    <w:rsid w:val="3A325BDD"/>
    <w:rsid w:val="3A5E2E76"/>
    <w:rsid w:val="3AC870A1"/>
    <w:rsid w:val="3B201ED9"/>
    <w:rsid w:val="3B595AEE"/>
    <w:rsid w:val="3BE314BE"/>
    <w:rsid w:val="3BEE1F98"/>
    <w:rsid w:val="3C2B322B"/>
    <w:rsid w:val="3CE27D8E"/>
    <w:rsid w:val="3CF74EBC"/>
    <w:rsid w:val="3D0A617E"/>
    <w:rsid w:val="3D2A5291"/>
    <w:rsid w:val="3EAC1046"/>
    <w:rsid w:val="3F220916"/>
    <w:rsid w:val="3F3E6A10"/>
    <w:rsid w:val="3F6031EC"/>
    <w:rsid w:val="3FAE7FCF"/>
    <w:rsid w:val="3FE045FD"/>
    <w:rsid w:val="3FE43E1D"/>
    <w:rsid w:val="40083F00"/>
    <w:rsid w:val="400F00E4"/>
    <w:rsid w:val="42044303"/>
    <w:rsid w:val="42161190"/>
    <w:rsid w:val="42213106"/>
    <w:rsid w:val="42C46384"/>
    <w:rsid w:val="42C9029A"/>
    <w:rsid w:val="435261A2"/>
    <w:rsid w:val="438223C2"/>
    <w:rsid w:val="438C5CCB"/>
    <w:rsid w:val="448434D9"/>
    <w:rsid w:val="44B26298"/>
    <w:rsid w:val="45905EAD"/>
    <w:rsid w:val="45BD3146"/>
    <w:rsid w:val="46D83FB0"/>
    <w:rsid w:val="47C85DD2"/>
    <w:rsid w:val="49D942C7"/>
    <w:rsid w:val="4A203CA4"/>
    <w:rsid w:val="4A397490"/>
    <w:rsid w:val="4A7B7090"/>
    <w:rsid w:val="4AA523FB"/>
    <w:rsid w:val="4B6E4EE3"/>
    <w:rsid w:val="4B8340AE"/>
    <w:rsid w:val="4BE05350"/>
    <w:rsid w:val="4C4A5008"/>
    <w:rsid w:val="4CE0596C"/>
    <w:rsid w:val="4DD92AE7"/>
    <w:rsid w:val="4E1D31C6"/>
    <w:rsid w:val="4FB90713"/>
    <w:rsid w:val="50354221"/>
    <w:rsid w:val="506D0FCD"/>
    <w:rsid w:val="50AC74C9"/>
    <w:rsid w:val="50F47277"/>
    <w:rsid w:val="51227546"/>
    <w:rsid w:val="53A133D1"/>
    <w:rsid w:val="53CC444F"/>
    <w:rsid w:val="54F226E1"/>
    <w:rsid w:val="554B6305"/>
    <w:rsid w:val="55833339"/>
    <w:rsid w:val="55853555"/>
    <w:rsid w:val="566273F2"/>
    <w:rsid w:val="58823D7B"/>
    <w:rsid w:val="59195206"/>
    <w:rsid w:val="59640F65"/>
    <w:rsid w:val="596F1409"/>
    <w:rsid w:val="59FE155E"/>
    <w:rsid w:val="5B3D0C52"/>
    <w:rsid w:val="5B4A127B"/>
    <w:rsid w:val="5C9122C7"/>
    <w:rsid w:val="5DF63241"/>
    <w:rsid w:val="5F0059FA"/>
    <w:rsid w:val="5F1861FE"/>
    <w:rsid w:val="5F1A63D6"/>
    <w:rsid w:val="60761A16"/>
    <w:rsid w:val="60F44B41"/>
    <w:rsid w:val="610547B8"/>
    <w:rsid w:val="62B42838"/>
    <w:rsid w:val="63586B25"/>
    <w:rsid w:val="644B4BA0"/>
    <w:rsid w:val="64740A1C"/>
    <w:rsid w:val="6499766B"/>
    <w:rsid w:val="64CC543C"/>
    <w:rsid w:val="657F19CA"/>
    <w:rsid w:val="65B71431"/>
    <w:rsid w:val="685D524A"/>
    <w:rsid w:val="68DD14D6"/>
    <w:rsid w:val="69324EAF"/>
    <w:rsid w:val="69670B4F"/>
    <w:rsid w:val="6A5007A3"/>
    <w:rsid w:val="6A773014"/>
    <w:rsid w:val="6A934F9D"/>
    <w:rsid w:val="6ACD20A9"/>
    <w:rsid w:val="6CB73B9C"/>
    <w:rsid w:val="6CDF3005"/>
    <w:rsid w:val="6D3F2BFB"/>
    <w:rsid w:val="6E6A2D10"/>
    <w:rsid w:val="6EDA1DC4"/>
    <w:rsid w:val="6F1C27B5"/>
    <w:rsid w:val="6F8460EA"/>
    <w:rsid w:val="6F8A0F15"/>
    <w:rsid w:val="70981F36"/>
    <w:rsid w:val="7137174F"/>
    <w:rsid w:val="716A59B2"/>
    <w:rsid w:val="71706B2F"/>
    <w:rsid w:val="718F3339"/>
    <w:rsid w:val="71B62611"/>
    <w:rsid w:val="72035AD5"/>
    <w:rsid w:val="72595384"/>
    <w:rsid w:val="726E73F3"/>
    <w:rsid w:val="72F7398A"/>
    <w:rsid w:val="732D59C3"/>
    <w:rsid w:val="74B728C5"/>
    <w:rsid w:val="7540179B"/>
    <w:rsid w:val="758D5DDE"/>
    <w:rsid w:val="7647594D"/>
    <w:rsid w:val="764846AA"/>
    <w:rsid w:val="76FD35AD"/>
    <w:rsid w:val="770C710B"/>
    <w:rsid w:val="78397B5B"/>
    <w:rsid w:val="7AC676A0"/>
    <w:rsid w:val="7AD16771"/>
    <w:rsid w:val="7B4E1B6F"/>
    <w:rsid w:val="7BC17922"/>
    <w:rsid w:val="7BCC0CE6"/>
    <w:rsid w:val="7BE424D4"/>
    <w:rsid w:val="7CA852AF"/>
    <w:rsid w:val="7D0F17D2"/>
    <w:rsid w:val="7D7E4262"/>
    <w:rsid w:val="7E48324F"/>
    <w:rsid w:val="7E507A4C"/>
    <w:rsid w:val="7F4D213E"/>
    <w:rsid w:val="7F86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99"/>
    <w:pPr>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0"/>
    <w:pPr>
      <w:ind w:left="420" w:leftChars="200"/>
    </w:pPr>
    <w:rPr>
      <w:rFonts w:ascii="Calibri" w:hAnsi="Calibri"/>
    </w:rPr>
  </w:style>
  <w:style w:type="paragraph" w:styleId="8">
    <w:name w:val="annotation text"/>
    <w:basedOn w:val="1"/>
    <w:autoRedefine/>
    <w:qFormat/>
    <w:uiPriority w:val="0"/>
    <w:pPr>
      <w:jc w:val="left"/>
    </w:pPr>
  </w:style>
  <w:style w:type="paragraph" w:styleId="9">
    <w:name w:val="Body Text"/>
    <w:basedOn w:val="1"/>
    <w:autoRedefine/>
    <w:semiHidden/>
    <w:qFormat/>
    <w:uiPriority w:val="0"/>
    <w:rPr>
      <w:rFonts w:ascii="仿宋" w:hAnsi="仿宋" w:eastAsia="仿宋" w:cs="仿宋"/>
      <w:sz w:val="31"/>
      <w:szCs w:val="31"/>
    </w:rPr>
  </w:style>
  <w:style w:type="paragraph" w:styleId="10">
    <w:name w:val="Body Text Indent"/>
    <w:basedOn w:val="1"/>
    <w:autoRedefine/>
    <w:qFormat/>
    <w:uiPriority w:val="99"/>
    <w:pPr>
      <w:spacing w:line="380" w:lineRule="exact"/>
      <w:ind w:firstLine="480"/>
    </w:pPr>
    <w:rPr>
      <w:rFonts w:eastAsia="方正书宋简体"/>
      <w:kern w:val="0"/>
      <w:sz w:val="24"/>
      <w:szCs w:val="24"/>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Date"/>
    <w:basedOn w:val="1"/>
    <w:next w:val="1"/>
    <w:qFormat/>
    <w:uiPriority w:val="99"/>
    <w:pPr>
      <w:ind w:left="100" w:leftChars="2500"/>
    </w:pPr>
    <w:rPr>
      <w:rFonts w:ascii="Calibri" w:hAnsi="Calibri" w:cs="Calibri"/>
    </w:rPr>
  </w:style>
  <w:style w:type="paragraph" w:styleId="14">
    <w:name w:val="footer"/>
    <w:basedOn w:val="1"/>
    <w:autoRedefine/>
    <w:qFormat/>
    <w:uiPriority w:val="0"/>
    <w:pPr>
      <w:tabs>
        <w:tab w:val="center" w:pos="4153"/>
        <w:tab w:val="right" w:pos="8306"/>
      </w:tabs>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autoRedefine/>
    <w:qFormat/>
    <w:uiPriority w:val="0"/>
  </w:style>
  <w:style w:type="paragraph" w:styleId="17">
    <w:name w:val="toc 4"/>
    <w:basedOn w:val="1"/>
    <w:next w:val="1"/>
    <w:autoRedefine/>
    <w:qFormat/>
    <w:uiPriority w:val="0"/>
    <w:pPr>
      <w:ind w:left="1260" w:leftChars="600"/>
    </w:pPr>
  </w:style>
  <w:style w:type="paragraph" w:styleId="18">
    <w:name w:val="toc 2"/>
    <w:basedOn w:val="1"/>
    <w:next w:val="1"/>
    <w:autoRedefine/>
    <w:qFormat/>
    <w:uiPriority w:val="0"/>
    <w:pPr>
      <w:ind w:left="420" w:leftChars="200"/>
    </w:p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Body Text First Indent"/>
    <w:basedOn w:val="9"/>
    <w:autoRedefine/>
    <w:qFormat/>
    <w:uiPriority w:val="99"/>
    <w:pPr>
      <w:spacing w:after="120"/>
      <w:ind w:firstLine="420" w:firstLineChars="100"/>
    </w:pPr>
    <w:rPr>
      <w:rFonts w:ascii="Times New Roman" w:hAnsi="Times New Roman" w:cs="Times New Roman"/>
      <w:sz w:val="24"/>
      <w:szCs w:val="24"/>
    </w:rPr>
  </w:style>
  <w:style w:type="paragraph" w:styleId="21">
    <w:name w:val="Body Text First Indent 2"/>
    <w:basedOn w:val="10"/>
    <w:autoRedefine/>
    <w:qFormat/>
    <w:uiPriority w:val="0"/>
    <w:pPr>
      <w:ind w:firstLine="420" w:firstLineChars="200"/>
    </w:p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FollowedHyperlink"/>
    <w:basedOn w:val="24"/>
    <w:qFormat/>
    <w:uiPriority w:val="0"/>
    <w:rPr>
      <w:color w:val="333333"/>
      <w:u w:val="none"/>
    </w:rPr>
  </w:style>
  <w:style w:type="character" w:styleId="26">
    <w:name w:val="Emphasis"/>
    <w:basedOn w:val="24"/>
    <w:autoRedefine/>
    <w:qFormat/>
    <w:uiPriority w:val="0"/>
  </w:style>
  <w:style w:type="character" w:styleId="27">
    <w:name w:val="Hyperlink"/>
    <w:basedOn w:val="24"/>
    <w:autoRedefine/>
    <w:qFormat/>
    <w:uiPriority w:val="0"/>
    <w:rPr>
      <w:color w:val="333333"/>
      <w:u w:val="none"/>
    </w:rPr>
  </w:style>
  <w:style w:type="character" w:styleId="28">
    <w:name w:val="HTML Code"/>
    <w:basedOn w:val="24"/>
    <w:autoRedefine/>
    <w:qFormat/>
    <w:uiPriority w:val="0"/>
    <w:rPr>
      <w:rFonts w:ascii="Courier New" w:hAnsi="Courier New"/>
      <w:sz w:val="20"/>
    </w:rPr>
  </w:style>
  <w:style w:type="paragraph" w:customStyle="1" w:styleId="29">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仿宋" w:hAnsi="仿宋" w:eastAsia="仿宋" w:cs="仿宋"/>
      <w:sz w:val="24"/>
      <w:szCs w:val="24"/>
    </w:rPr>
  </w:style>
  <w:style w:type="paragraph" w:customStyle="1" w:styleId="3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3">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34">
    <w:name w:val="smallfont"/>
    <w:basedOn w:val="24"/>
    <w:autoRedefine/>
    <w:qFormat/>
    <w:uiPriority w:val="0"/>
  </w:style>
  <w:style w:type="character" w:customStyle="1" w:styleId="35">
    <w:name w:val="times"/>
    <w:basedOn w:val="24"/>
    <w:autoRedefine/>
    <w:qFormat/>
    <w:uiPriority w:val="0"/>
    <w:rPr>
      <w:color w:val="222222"/>
      <w:sz w:val="21"/>
      <w:szCs w:val="21"/>
    </w:rPr>
  </w:style>
  <w:style w:type="character" w:customStyle="1" w:styleId="36">
    <w:name w:val="hover"/>
    <w:basedOn w:val="24"/>
    <w:qFormat/>
    <w:uiPriority w:val="0"/>
    <w:rPr>
      <w:color w:val="5FB878"/>
    </w:rPr>
  </w:style>
  <w:style w:type="character" w:customStyle="1" w:styleId="37">
    <w:name w:val="hover1"/>
    <w:basedOn w:val="24"/>
    <w:autoRedefine/>
    <w:qFormat/>
    <w:uiPriority w:val="0"/>
    <w:rPr>
      <w:color w:val="5FB878"/>
    </w:rPr>
  </w:style>
  <w:style w:type="character" w:customStyle="1" w:styleId="38">
    <w:name w:val="hover2"/>
    <w:basedOn w:val="24"/>
    <w:autoRedefine/>
    <w:qFormat/>
    <w:uiPriority w:val="0"/>
    <w:rPr>
      <w:color w:val="FFFFFF"/>
    </w:rPr>
  </w:style>
  <w:style w:type="character" w:customStyle="1" w:styleId="39">
    <w:name w:val="layui-laydate-preview"/>
    <w:basedOn w:val="24"/>
    <w:autoRedefine/>
    <w:qFormat/>
    <w:uiPriority w:val="0"/>
  </w:style>
  <w:style w:type="character" w:customStyle="1" w:styleId="40">
    <w:name w:val="before"/>
    <w:basedOn w:val="24"/>
    <w:autoRedefine/>
    <w:qFormat/>
    <w:uiPriority w:val="0"/>
  </w:style>
  <w:style w:type="character" w:customStyle="1" w:styleId="41">
    <w:name w:val="medfont"/>
    <w:basedOn w:val="24"/>
    <w:autoRedefine/>
    <w:qFormat/>
    <w:uiPriority w:val="0"/>
  </w:style>
  <w:style w:type="character" w:customStyle="1" w:styleId="42">
    <w:name w:val="largefont"/>
    <w:basedOn w:val="24"/>
    <w:autoRedefine/>
    <w:qFormat/>
    <w:uiPriority w:val="0"/>
  </w:style>
  <w:style w:type="character" w:customStyle="1" w:styleId="43">
    <w:name w:val="layui-this4"/>
    <w:basedOn w:val="24"/>
    <w:autoRedefine/>
    <w:qFormat/>
    <w:uiPriority w:val="0"/>
    <w:rPr>
      <w:bdr w:val="single" w:color="EEEEEE" w:sz="6" w:space="0"/>
      <w:shd w:val="clear" w:fill="FFFFFF"/>
    </w:rPr>
  </w:style>
  <w:style w:type="character" w:customStyle="1" w:styleId="44">
    <w:name w:val="first-child"/>
    <w:basedOn w:val="24"/>
    <w:autoRedefine/>
    <w:qFormat/>
    <w:uiPriority w:val="0"/>
  </w:style>
  <w:style w:type="character" w:customStyle="1" w:styleId="45">
    <w:name w:val="zh"/>
    <w:basedOn w:val="24"/>
    <w:autoRedefine/>
    <w:qFormat/>
    <w:uiPriority w:val="0"/>
    <w:rPr>
      <w:sz w:val="21"/>
      <w:szCs w:val="21"/>
    </w:rPr>
  </w:style>
  <w:style w:type="character" w:customStyle="1" w:styleId="46">
    <w:name w:val="layui-laypage-curr"/>
    <w:basedOn w:val="24"/>
    <w:autoRedefine/>
    <w:qFormat/>
    <w:uiPriority w:val="0"/>
  </w:style>
  <w:style w:type="character" w:customStyle="1" w:styleId="47">
    <w:name w:val="name"/>
    <w:basedOn w:val="24"/>
    <w:autoRedefine/>
    <w:qFormat/>
    <w:uiPriority w:val="0"/>
    <w:rPr>
      <w:color w:val="222222"/>
      <w:sz w:val="27"/>
      <w:szCs w:val="27"/>
    </w:rPr>
  </w:style>
  <w:style w:type="character" w:customStyle="1" w:styleId="48">
    <w:name w:val="name1"/>
    <w:basedOn w:val="24"/>
    <w:autoRedefine/>
    <w:qFormat/>
    <w:uiPriority w:val="0"/>
    <w:rPr>
      <w:b/>
      <w:bCs/>
      <w:color w:val="046CCD"/>
    </w:rPr>
  </w:style>
  <w:style w:type="character" w:customStyle="1" w:styleId="49">
    <w:name w:val="hover16"/>
    <w:basedOn w:val="24"/>
    <w:autoRedefine/>
    <w:qFormat/>
    <w:uiPriority w:val="0"/>
    <w:rPr>
      <w:color w:val="5FB878"/>
    </w:rPr>
  </w:style>
  <w:style w:type="character" w:customStyle="1" w:styleId="50">
    <w:name w:val="hover17"/>
    <w:basedOn w:val="24"/>
    <w:autoRedefine/>
    <w:qFormat/>
    <w:uiPriority w:val="0"/>
    <w:rPr>
      <w:color w:val="5FB878"/>
    </w:rPr>
  </w:style>
  <w:style w:type="character" w:customStyle="1" w:styleId="51">
    <w:name w:val="hover18"/>
    <w:basedOn w:val="24"/>
    <w:autoRedefine/>
    <w:qFormat/>
    <w:uiPriority w:val="0"/>
    <w:rPr>
      <w:color w:val="FFFFFF"/>
    </w:rPr>
  </w:style>
  <w:style w:type="character" w:customStyle="1" w:styleId="52">
    <w:name w:val="largefont2"/>
    <w:basedOn w:val="24"/>
    <w:autoRedefine/>
    <w:qFormat/>
    <w:uiPriority w:val="0"/>
  </w:style>
  <w:style w:type="character" w:customStyle="1" w:styleId="53">
    <w:name w:val="medfont2"/>
    <w:basedOn w:val="24"/>
    <w:autoRedefine/>
    <w:qFormat/>
    <w:uiPriority w:val="0"/>
  </w:style>
  <w:style w:type="character" w:customStyle="1" w:styleId="54">
    <w:name w:val="layui-this"/>
    <w:basedOn w:val="24"/>
    <w:autoRedefine/>
    <w:qFormat/>
    <w:uiPriority w:val="0"/>
    <w:rPr>
      <w:bdr w:val="single" w:color="EEEEEE" w:sz="6" w:space="0"/>
      <w:shd w:val="clear" w:fill="FFFFFF"/>
    </w:rPr>
  </w:style>
  <w:style w:type="character" w:customStyle="1" w:styleId="55">
    <w:name w:val="first-child1"/>
    <w:basedOn w:val="24"/>
    <w:autoRedefine/>
    <w:qFormat/>
    <w:uiPriority w:val="0"/>
  </w:style>
  <w:style w:type="paragraph" w:styleId="56">
    <w:name w:val="List Paragraph"/>
    <w:basedOn w:val="1"/>
    <w:autoRedefine/>
    <w:qFormat/>
    <w:uiPriority w:val="0"/>
    <w:pPr>
      <w:autoSpaceDE w:val="0"/>
      <w:autoSpaceDN w:val="0"/>
      <w:jc w:val="left"/>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15791</Words>
  <Characters>16267</Characters>
  <Lines>273</Lines>
  <Paragraphs>76</Paragraphs>
  <TotalTime>2</TotalTime>
  <ScaleCrop>false</ScaleCrop>
  <LinksUpToDate>false</LinksUpToDate>
  <CharactersWithSpaces>16396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2023-12-08T16:45:00Z</dcterms:created>
  <dc:creator>ZFCG</dc:creator>
  <cp:lastModifiedBy>1403661246</cp:lastModifiedBy>
  <dcterms:modified xsi:type="dcterms:W3CDTF">2025-07-29T07:36:11Z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2023-12-11T13:22:24Z</vt:filetime>
  </property>
  <property fmtid="{D5CDD505-2E9C-101B-9397-08002B2CF9AE}" pid="4" name="KSOProductBuildVer">
    <vt:lpwstr>2052-12.1.0.21915</vt:lpwstr>
  </property>
  <property fmtid="{D5CDD505-2E9C-101B-9397-08002B2CF9AE}" pid="5" name="ICV">
    <vt:lpwstr>25263FDC6897494D810F14D1E77B09A1_13</vt:lpwstr>
  </property>
  <property fmtid="{D5CDD505-2E9C-101B-9397-08002B2CF9AE}" pid="6" name="KSOTemplateDocerSaveRecord">
    <vt:lpwstr>eyJoZGlkIjoiYWJmNTAxYTA0NTllZTU0OWY5NWY0MWNlMzBjNGU2OTYiLCJ1c2VySWQiOiIxNzY2MjE4NyJ9</vt:lpwstr>
  </property>
</Properties>
</file>