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113F7">
      <w:pPr>
        <w:jc w:val="center"/>
        <w:rPr>
          <w:rFonts w:hint="eastAsia"/>
          <w:sz w:val="32"/>
          <w:szCs w:val="21"/>
          <w:lang w:val="en-US" w:eastAsia="zh-CN"/>
        </w:rPr>
      </w:pPr>
      <w:r>
        <w:rPr>
          <w:rFonts w:hint="eastAsia"/>
          <w:sz w:val="32"/>
          <w:szCs w:val="21"/>
          <w:lang w:val="en-US" w:eastAsia="zh-CN"/>
        </w:rPr>
        <w:t>平塘县民族中学校舍改造项目</w:t>
      </w:r>
    </w:p>
    <w:p w14:paraId="3ADF2C0A">
      <w:pPr>
        <w:jc w:val="center"/>
        <w:rPr>
          <w:sz w:val="32"/>
          <w:szCs w:val="21"/>
        </w:rPr>
      </w:pPr>
      <w:r>
        <w:rPr>
          <w:rFonts w:hint="eastAsia"/>
          <w:sz w:val="32"/>
          <w:szCs w:val="21"/>
        </w:rPr>
        <w:t>需求公示</w:t>
      </w:r>
    </w:p>
    <w:p w14:paraId="453B2D1A">
      <w:pPr>
        <w:spacing w:line="360" w:lineRule="auto"/>
        <w:jc w:val="left"/>
        <w:rPr>
          <w:rFonts w:hint="default" w:eastAsiaTheme="minorEastAsia"/>
          <w:sz w:val="24"/>
          <w:lang w:val="en-US" w:eastAsia="zh-CN"/>
        </w:rPr>
      </w:pPr>
      <w:r>
        <w:rPr>
          <w:rFonts w:hint="eastAsia"/>
          <w:sz w:val="24"/>
        </w:rPr>
        <w:t>1.招标方式：</w:t>
      </w:r>
      <w:r>
        <w:rPr>
          <w:rFonts w:hint="eastAsia" w:asciiTheme="minorEastAsia" w:hAnsiTheme="minorEastAsia" w:eastAsiaTheme="minorEastAsia" w:cstheme="minorEastAsia"/>
          <w:color w:val="000000" w:themeColor="text1"/>
          <w:sz w:val="24"/>
        </w:rPr>
        <w:t>竞争性磋商</w:t>
      </w:r>
    </w:p>
    <w:p w14:paraId="1BB8E8DC">
      <w:pPr>
        <w:spacing w:line="360" w:lineRule="auto"/>
        <w:jc w:val="left"/>
        <w:rPr>
          <w:sz w:val="24"/>
        </w:rPr>
      </w:pPr>
      <w:r>
        <w:rPr>
          <w:rFonts w:hint="eastAsia"/>
          <w:sz w:val="24"/>
        </w:rPr>
        <w:t>2.商务要求：</w:t>
      </w:r>
    </w:p>
    <w:p w14:paraId="66B74127">
      <w:pPr>
        <w:numPr>
          <w:ilvl w:val="0"/>
          <w:numId w:val="0"/>
        </w:numPr>
        <w:spacing w:line="360" w:lineRule="auto"/>
        <w:jc w:val="left"/>
        <w:rPr>
          <w:rFonts w:hint="eastAsia"/>
          <w:sz w:val="24"/>
        </w:rPr>
      </w:pPr>
      <w:r>
        <w:rPr>
          <w:rFonts w:hint="eastAsia"/>
          <w:sz w:val="24"/>
        </w:rPr>
        <w:t>一、</w:t>
      </w:r>
      <w:r>
        <w:rPr>
          <w:rFonts w:hint="eastAsia"/>
          <w:sz w:val="24"/>
          <w:lang w:val="en-US" w:eastAsia="zh-CN"/>
        </w:rPr>
        <w:t>工期</w:t>
      </w:r>
      <w:r>
        <w:rPr>
          <w:rFonts w:hint="eastAsia"/>
          <w:sz w:val="24"/>
        </w:rPr>
        <w:t>及</w:t>
      </w:r>
      <w:r>
        <w:rPr>
          <w:rFonts w:hint="eastAsia"/>
          <w:sz w:val="24"/>
          <w:lang w:val="en-US" w:eastAsia="zh-CN"/>
        </w:rPr>
        <w:t>建设</w:t>
      </w:r>
      <w:r>
        <w:rPr>
          <w:rFonts w:hint="eastAsia"/>
          <w:sz w:val="24"/>
        </w:rPr>
        <w:t>地点</w:t>
      </w:r>
    </w:p>
    <w:p w14:paraId="19561ABF">
      <w:pPr>
        <w:numPr>
          <w:ilvl w:val="0"/>
          <w:numId w:val="0"/>
        </w:numPr>
        <w:spacing w:line="360" w:lineRule="auto"/>
        <w:jc w:val="left"/>
        <w:rPr>
          <w:rFonts w:hint="eastAsia"/>
          <w:sz w:val="24"/>
          <w:lang w:eastAsia="zh-CN"/>
        </w:rPr>
      </w:pPr>
      <w:r>
        <w:rPr>
          <w:rFonts w:hint="eastAsia"/>
          <w:sz w:val="24"/>
          <w:lang w:val="en-US" w:eastAsia="zh-CN"/>
        </w:rPr>
        <w:t>工期</w:t>
      </w:r>
      <w:r>
        <w:rPr>
          <w:rFonts w:hint="eastAsia"/>
          <w:sz w:val="24"/>
        </w:rPr>
        <w:t>：</w:t>
      </w:r>
      <w:r>
        <w:rPr>
          <w:rFonts w:hint="eastAsia"/>
          <w:sz w:val="24"/>
          <w:lang w:eastAsia="zh-CN"/>
        </w:rPr>
        <w:t>2个月(60日历天)</w:t>
      </w:r>
    </w:p>
    <w:p w14:paraId="7F72CACE">
      <w:pPr>
        <w:numPr>
          <w:ilvl w:val="0"/>
          <w:numId w:val="0"/>
        </w:numPr>
        <w:spacing w:line="360" w:lineRule="auto"/>
        <w:jc w:val="left"/>
        <w:rPr>
          <w:rFonts w:hint="eastAsia"/>
          <w:sz w:val="24"/>
        </w:rPr>
      </w:pPr>
      <w:bookmarkStart w:id="0" w:name="_GoBack"/>
      <w:bookmarkEnd w:id="0"/>
      <w:r>
        <w:rPr>
          <w:rFonts w:hint="eastAsia"/>
          <w:sz w:val="24"/>
          <w:lang w:val="en-US" w:eastAsia="zh-CN"/>
        </w:rPr>
        <w:t>建设</w:t>
      </w:r>
      <w:r>
        <w:rPr>
          <w:rFonts w:hint="eastAsia"/>
          <w:sz w:val="24"/>
        </w:rPr>
        <w:t>地点：</w:t>
      </w:r>
      <w:r>
        <w:rPr>
          <w:rFonts w:hint="eastAsia"/>
          <w:sz w:val="24"/>
          <w:lang w:eastAsia="zh-CN"/>
        </w:rPr>
        <w:t>平塘民族中学校园内</w:t>
      </w:r>
      <w:r>
        <w:rPr>
          <w:rFonts w:hint="eastAsia"/>
          <w:sz w:val="24"/>
        </w:rPr>
        <w:t>。</w:t>
      </w:r>
    </w:p>
    <w:p w14:paraId="296A24D0">
      <w:pPr>
        <w:numPr>
          <w:ilvl w:val="0"/>
          <w:numId w:val="0"/>
        </w:numPr>
        <w:spacing w:line="360" w:lineRule="auto"/>
        <w:jc w:val="left"/>
        <w:rPr>
          <w:rFonts w:hint="eastAsia"/>
          <w:sz w:val="24"/>
        </w:rPr>
      </w:pPr>
      <w:r>
        <w:rPr>
          <w:rFonts w:hint="eastAsia"/>
          <w:sz w:val="24"/>
        </w:rPr>
        <w:t>二、验收标准、规范及方式</w:t>
      </w:r>
    </w:p>
    <w:p w14:paraId="3B4675C3">
      <w:pPr>
        <w:numPr>
          <w:ilvl w:val="0"/>
          <w:numId w:val="0"/>
        </w:numPr>
        <w:spacing w:line="360" w:lineRule="auto"/>
        <w:jc w:val="left"/>
        <w:rPr>
          <w:rFonts w:hint="eastAsia"/>
          <w:sz w:val="24"/>
        </w:rPr>
      </w:pPr>
      <w:r>
        <w:rPr>
          <w:rFonts w:hint="eastAsia"/>
          <w:sz w:val="24"/>
        </w:rPr>
        <w:t>1、质量标准：满足国家规定及相关行业标准。</w:t>
      </w:r>
    </w:p>
    <w:p w14:paraId="411E606A">
      <w:pPr>
        <w:numPr>
          <w:ilvl w:val="0"/>
          <w:numId w:val="0"/>
        </w:numPr>
        <w:spacing w:line="360" w:lineRule="auto"/>
        <w:jc w:val="left"/>
        <w:rPr>
          <w:rFonts w:hint="eastAsia"/>
          <w:sz w:val="24"/>
        </w:rPr>
      </w:pPr>
      <w:r>
        <w:rPr>
          <w:rFonts w:hint="eastAsia"/>
          <w:sz w:val="24"/>
        </w:rPr>
        <w:t>2、验收标准：满足国家规定及相关行业标准。</w:t>
      </w:r>
    </w:p>
    <w:p w14:paraId="18D3B3D3">
      <w:pPr>
        <w:numPr>
          <w:ilvl w:val="0"/>
          <w:numId w:val="0"/>
        </w:numPr>
        <w:spacing w:line="360" w:lineRule="auto"/>
        <w:jc w:val="left"/>
        <w:rPr>
          <w:rFonts w:hint="eastAsia"/>
          <w:sz w:val="24"/>
        </w:rPr>
      </w:pPr>
      <w:r>
        <w:rPr>
          <w:rFonts w:hint="eastAsia"/>
          <w:sz w:val="24"/>
        </w:rPr>
        <w:t>三、结算方式</w:t>
      </w:r>
    </w:p>
    <w:p w14:paraId="61C761EB">
      <w:pPr>
        <w:numPr>
          <w:ilvl w:val="0"/>
          <w:numId w:val="0"/>
        </w:numPr>
        <w:spacing w:line="360" w:lineRule="auto"/>
        <w:jc w:val="left"/>
        <w:rPr>
          <w:rFonts w:hint="eastAsia"/>
          <w:sz w:val="24"/>
        </w:rPr>
      </w:pPr>
      <w:r>
        <w:rPr>
          <w:rFonts w:hint="eastAsia"/>
          <w:sz w:val="24"/>
        </w:rPr>
        <w:t>竣工验收合格后结算</w:t>
      </w:r>
    </w:p>
    <w:p w14:paraId="7F30B4CE">
      <w:pPr>
        <w:numPr>
          <w:ilvl w:val="0"/>
          <w:numId w:val="0"/>
        </w:numPr>
        <w:spacing w:line="360" w:lineRule="auto"/>
        <w:jc w:val="left"/>
        <w:rPr>
          <w:rFonts w:hint="eastAsia"/>
          <w:sz w:val="24"/>
        </w:rPr>
      </w:pPr>
      <w:r>
        <w:rPr>
          <w:rFonts w:hint="eastAsia"/>
          <w:sz w:val="24"/>
        </w:rPr>
        <w:t>四、投标有效期</w:t>
      </w:r>
    </w:p>
    <w:p w14:paraId="007E74D8">
      <w:pPr>
        <w:numPr>
          <w:ilvl w:val="0"/>
          <w:numId w:val="0"/>
        </w:numPr>
        <w:spacing w:line="360" w:lineRule="auto"/>
        <w:jc w:val="left"/>
        <w:rPr>
          <w:rFonts w:hint="eastAsia"/>
          <w:sz w:val="24"/>
        </w:rPr>
      </w:pPr>
      <w:r>
        <w:rPr>
          <w:rFonts w:hint="eastAsia"/>
          <w:sz w:val="24"/>
        </w:rPr>
        <w:t>60日历天（自开标之日起60日历天内有效）</w:t>
      </w:r>
    </w:p>
    <w:p w14:paraId="44980246">
      <w:pPr>
        <w:numPr>
          <w:ilvl w:val="0"/>
          <w:numId w:val="1"/>
        </w:numPr>
        <w:spacing w:line="360" w:lineRule="auto"/>
        <w:jc w:val="left"/>
        <w:rPr>
          <w:rFonts w:hint="eastAsia"/>
          <w:sz w:val="24"/>
        </w:rPr>
      </w:pPr>
      <w:r>
        <w:rPr>
          <w:rFonts w:hint="eastAsia"/>
          <w:sz w:val="24"/>
        </w:rPr>
        <w:t>其他要求</w:t>
      </w:r>
    </w:p>
    <w:p w14:paraId="60CB70A3">
      <w:pPr>
        <w:numPr>
          <w:ilvl w:val="0"/>
          <w:numId w:val="0"/>
        </w:num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1.本项目拟派项目负责人应具备</w:t>
      </w:r>
      <w:r>
        <w:rPr>
          <w:rFonts w:hint="eastAsia" w:ascii="宋体" w:hAnsi="宋体" w:cs="宋体"/>
          <w:bCs/>
          <w:color w:val="000000"/>
          <w:sz w:val="24"/>
          <w:u w:val="single"/>
          <w:lang w:val="en-US" w:eastAsia="zh-CN"/>
        </w:rPr>
        <w:t>建筑</w:t>
      </w:r>
      <w:r>
        <w:rPr>
          <w:rFonts w:hint="eastAsia" w:ascii="宋体" w:hAnsi="宋体" w:cs="宋体"/>
          <w:bCs/>
          <w:color w:val="000000"/>
          <w:sz w:val="24"/>
          <w:u w:val="single"/>
        </w:rPr>
        <w:t>工程</w:t>
      </w:r>
      <w:r>
        <w:rPr>
          <w:rFonts w:hint="eastAsia" w:ascii="宋体" w:hAnsi="宋体" w:cs="宋体"/>
          <w:color w:val="000000"/>
          <w:sz w:val="24"/>
        </w:rPr>
        <w:t>专业</w:t>
      </w:r>
      <w:r>
        <w:rPr>
          <w:rFonts w:hint="eastAsia" w:ascii="宋体" w:hAnsi="宋体" w:cs="宋体"/>
          <w:color w:val="000000"/>
          <w:sz w:val="24"/>
          <w:u w:val="single"/>
        </w:rPr>
        <w:t>贰</w:t>
      </w:r>
      <w:r>
        <w:rPr>
          <w:rFonts w:hint="eastAsia" w:ascii="宋体" w:hAnsi="宋体" w:cs="宋体"/>
          <w:color w:val="000000"/>
          <w:sz w:val="24"/>
        </w:rPr>
        <w:t>级及以上注册建造师资格，且未担任其他在建项目的项目负责人（提供相关承诺及项目负责人应附建造师注册证、安全生产考核合格证（B 类）、缴纳养老保险复印件或扫描件）。</w:t>
      </w:r>
    </w:p>
    <w:p w14:paraId="23281197">
      <w:pPr>
        <w:pStyle w:val="9"/>
        <w:numPr>
          <w:ilvl w:val="0"/>
          <w:numId w:val="0"/>
        </w:numPr>
        <w:spacing w:line="360" w:lineRule="auto"/>
        <w:ind w:firstLine="420" w:firstLineChars="200"/>
        <w:rPr>
          <w:rFonts w:hint="eastAsia"/>
          <w:sz w:val="24"/>
        </w:rPr>
      </w:pPr>
      <w:r>
        <w:rPr>
          <w:rFonts w:hint="eastAsia" w:ascii="宋体" w:hAnsi="宋体" w:cs="宋体"/>
          <w:color w:val="000000"/>
        </w:rPr>
        <w:t>2、</w:t>
      </w:r>
      <w:r>
        <w:rPr>
          <w:rFonts w:hint="eastAsia" w:ascii="宋体" w:hAnsi="宋体" w:cs="宋体" w:eastAsiaTheme="minorEastAsia"/>
          <w:color w:val="000000"/>
          <w:kern w:val="2"/>
          <w:sz w:val="24"/>
          <w:szCs w:val="22"/>
          <w:lang w:val="en-US" w:eastAsia="zh-CN" w:bidi="ar-SA"/>
        </w:rPr>
        <w:t>安全文明措施费取费必须严格执行省厅及部门要求，不得作为投标竞争性费用，不得上下浮动。</w:t>
      </w:r>
    </w:p>
    <w:p w14:paraId="39961823">
      <w:pPr>
        <w:numPr>
          <w:ilvl w:val="0"/>
          <w:numId w:val="0"/>
        </w:numPr>
        <w:spacing w:line="360" w:lineRule="auto"/>
        <w:jc w:val="left"/>
        <w:rPr>
          <w:sz w:val="24"/>
        </w:rPr>
      </w:pPr>
      <w:r>
        <w:rPr>
          <w:rFonts w:hint="eastAsia"/>
          <w:sz w:val="24"/>
        </w:rPr>
        <w:t>3.供应商资格条件：</w:t>
      </w:r>
    </w:p>
    <w:p w14:paraId="4DFAFB1D">
      <w:pPr>
        <w:spacing w:beforeLines="50" w:afterLines="50"/>
        <w:ind w:firstLine="480" w:firstLineChars="200"/>
        <w:rPr>
          <w:rFonts w:cs="仿宋_GB2312" w:asciiTheme="minorEastAsia" w:hAnsiTheme="minorEastAsia"/>
          <w:sz w:val="24"/>
        </w:rPr>
      </w:pPr>
      <w:r>
        <w:rPr>
          <w:rFonts w:hint="eastAsia" w:cs="仿宋_GB2312" w:asciiTheme="minorEastAsia" w:hAnsiTheme="minorEastAsia"/>
          <w:sz w:val="24"/>
        </w:rPr>
        <w:t>一、符合政府采购法第二十二条规定</w:t>
      </w:r>
    </w:p>
    <w:p w14:paraId="4053175D">
      <w:pPr>
        <w:spacing w:line="360" w:lineRule="auto"/>
        <w:rPr>
          <w:rFonts w:ascii="宋体" w:hAnsi="宋体" w:cs="Arial"/>
          <w:color w:val="000000"/>
          <w:sz w:val="24"/>
          <w:szCs w:val="24"/>
        </w:rPr>
      </w:pPr>
      <w:r>
        <w:rPr>
          <w:rFonts w:hint="eastAsia" w:ascii="宋体" w:hAnsi="宋体" w:cs="Arial"/>
          <w:color w:val="000000"/>
          <w:sz w:val="24"/>
          <w:szCs w:val="24"/>
        </w:rPr>
        <w:t>1.具有独立承担民事责任的能力：</w:t>
      </w:r>
    </w:p>
    <w:p w14:paraId="6F860658">
      <w:pPr>
        <w:spacing w:line="360" w:lineRule="auto"/>
        <w:rPr>
          <w:rFonts w:ascii="宋体" w:hAnsi="宋体" w:cs="Arial"/>
          <w:color w:val="000000"/>
          <w:sz w:val="24"/>
          <w:szCs w:val="24"/>
        </w:rPr>
      </w:pPr>
      <w:r>
        <w:rPr>
          <w:rFonts w:hint="eastAsia" w:ascii="宋体" w:hAnsi="宋体" w:cs="Arial"/>
          <w:color w:val="000000"/>
          <w:sz w:val="24"/>
          <w:szCs w:val="24"/>
        </w:rPr>
        <w:t>2.具有良好的商业信誉和健全的财务会计制度：</w:t>
      </w:r>
    </w:p>
    <w:p w14:paraId="1586FB45">
      <w:pPr>
        <w:spacing w:line="360" w:lineRule="auto"/>
        <w:rPr>
          <w:rFonts w:ascii="宋体" w:hAnsi="宋体" w:cs="Arial"/>
          <w:color w:val="000000"/>
          <w:sz w:val="24"/>
          <w:szCs w:val="24"/>
        </w:rPr>
      </w:pPr>
      <w:r>
        <w:rPr>
          <w:rFonts w:hint="eastAsia" w:ascii="宋体" w:hAnsi="宋体" w:cs="Arial"/>
          <w:color w:val="000000"/>
          <w:sz w:val="24"/>
          <w:szCs w:val="24"/>
        </w:rPr>
        <w:t>3.具有履行合同所必需的设备和专业技术能力：</w:t>
      </w:r>
    </w:p>
    <w:p w14:paraId="1F6DA887">
      <w:pPr>
        <w:spacing w:line="360" w:lineRule="auto"/>
        <w:rPr>
          <w:rFonts w:ascii="宋体" w:hAnsi="宋体" w:cs="Arial"/>
          <w:color w:val="000000"/>
          <w:sz w:val="24"/>
          <w:szCs w:val="24"/>
        </w:rPr>
      </w:pPr>
      <w:r>
        <w:rPr>
          <w:rFonts w:hint="eastAsia" w:ascii="宋体" w:hAnsi="宋体" w:cs="Arial"/>
          <w:color w:val="000000"/>
          <w:sz w:val="24"/>
          <w:szCs w:val="24"/>
        </w:rPr>
        <w:t>4.具有依法缴纳税收和社会保障资金的良好记录：</w:t>
      </w:r>
    </w:p>
    <w:p w14:paraId="40B9BA84">
      <w:pPr>
        <w:spacing w:line="360" w:lineRule="auto"/>
        <w:rPr>
          <w:rFonts w:ascii="宋体" w:hAnsi="宋体" w:cs="Arial"/>
          <w:color w:val="000000"/>
          <w:sz w:val="24"/>
          <w:szCs w:val="24"/>
        </w:rPr>
      </w:pPr>
      <w:r>
        <w:rPr>
          <w:rFonts w:hint="eastAsia" w:ascii="宋体" w:hAnsi="宋体" w:cs="Arial"/>
          <w:color w:val="000000"/>
          <w:sz w:val="24"/>
          <w:szCs w:val="24"/>
        </w:rPr>
        <w:t>5.参加本次政府采购活动前三年内，在经营活动中没有违法违规记录：</w:t>
      </w:r>
    </w:p>
    <w:p w14:paraId="72A29E0F">
      <w:pPr>
        <w:spacing w:line="360" w:lineRule="auto"/>
        <w:rPr>
          <w:rFonts w:ascii="宋体" w:hAnsi="宋体" w:cs="Arial"/>
          <w:color w:val="000000"/>
          <w:sz w:val="24"/>
          <w:szCs w:val="24"/>
        </w:rPr>
      </w:pPr>
      <w:r>
        <w:rPr>
          <w:rFonts w:hint="eastAsia" w:ascii="宋体" w:hAnsi="宋体" w:cs="Arial"/>
          <w:color w:val="000000"/>
          <w:sz w:val="24"/>
          <w:szCs w:val="24"/>
        </w:rPr>
        <w:t>6.法律、行政法规规定的其他条件：</w:t>
      </w:r>
    </w:p>
    <w:p w14:paraId="01BD987A">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5D83F286">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rPr>
        <w:t>（2）根据《省发展改革委 省法院 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1C9510F7">
      <w:pPr>
        <w:spacing w:line="360" w:lineRule="auto"/>
        <w:rPr>
          <w:rFonts w:ascii="宋体" w:hAnsi="宋体" w:cs="Arial"/>
          <w:color w:val="000000"/>
          <w:sz w:val="24"/>
          <w:szCs w:val="24"/>
        </w:rPr>
      </w:pPr>
      <w:r>
        <w:rPr>
          <w:rFonts w:hint="eastAsia" w:ascii="宋体" w:hAnsi="宋体" w:cs="Arial"/>
          <w:color w:val="000000"/>
          <w:sz w:val="24"/>
          <w:szCs w:val="24"/>
        </w:rPr>
        <w:t>注：本项目</w:t>
      </w:r>
      <w:r>
        <w:rPr>
          <w:rFonts w:hint="eastAsia" w:ascii="宋体" w:hAnsi="宋体" w:cs="Arial"/>
          <w:color w:val="000000"/>
          <w:sz w:val="24"/>
          <w:szCs w:val="24"/>
          <w:u w:val="single"/>
          <w:lang w:val="en-US" w:eastAsia="zh-CN"/>
        </w:rPr>
        <w:t>不</w:t>
      </w:r>
      <w:r>
        <w:rPr>
          <w:rFonts w:hint="eastAsia" w:ascii="宋体" w:hAnsi="宋体" w:cs="Arial"/>
          <w:color w:val="000000"/>
          <w:sz w:val="24"/>
          <w:szCs w:val="24"/>
          <w:u w:val="single"/>
        </w:rPr>
        <w:t>接受</w:t>
      </w:r>
      <w:r>
        <w:rPr>
          <w:rFonts w:hint="eastAsia" w:ascii="宋体" w:hAnsi="宋体" w:cs="Arial"/>
          <w:color w:val="000000"/>
          <w:sz w:val="24"/>
          <w:szCs w:val="24"/>
        </w:rPr>
        <w:t>联合体投标。</w:t>
      </w:r>
    </w:p>
    <w:p w14:paraId="1F8B9A7C">
      <w:pPr>
        <w:spacing w:line="360" w:lineRule="auto"/>
        <w:ind w:firstLine="480" w:firstLineChars="200"/>
        <w:jc w:val="left"/>
        <w:rPr>
          <w:rFonts w:cs="仿宋_GB2312" w:asciiTheme="minorEastAsia" w:hAnsiTheme="minorEastAsia"/>
          <w:sz w:val="24"/>
        </w:rPr>
      </w:pPr>
      <w:r>
        <w:rPr>
          <w:rFonts w:hint="eastAsia" w:cs="仿宋_GB2312" w:asciiTheme="minorEastAsia" w:hAnsiTheme="minorEastAsia"/>
          <w:sz w:val="24"/>
        </w:rPr>
        <w:t>（二）本项目所需特殊行业资质或要求：</w:t>
      </w:r>
      <w:r>
        <w:rPr>
          <w:rFonts w:hint="eastAsia" w:ascii="宋体" w:hAnsi="宋体" w:cs="宋体"/>
          <w:color w:val="000000"/>
          <w:sz w:val="24"/>
        </w:rPr>
        <w:t>具备</w:t>
      </w:r>
      <w:r>
        <w:rPr>
          <w:rFonts w:hint="eastAsia" w:ascii="宋体" w:hAnsi="宋体" w:cs="宋体"/>
          <w:bCs/>
          <w:color w:val="000000"/>
          <w:sz w:val="24"/>
          <w:u w:val="single"/>
        </w:rPr>
        <w:t>建设行政主管部门颁发的</w:t>
      </w:r>
      <w:r>
        <w:rPr>
          <w:rFonts w:hint="eastAsia" w:ascii="宋体" w:hAnsi="宋体" w:cs="宋体"/>
          <w:bCs/>
          <w:color w:val="000000"/>
          <w:sz w:val="24"/>
          <w:u w:val="single"/>
          <w:lang w:val="en-US" w:eastAsia="zh-CN"/>
        </w:rPr>
        <w:t>建筑工程</w:t>
      </w:r>
      <w:r>
        <w:rPr>
          <w:rFonts w:hint="eastAsia" w:ascii="宋体" w:hAnsi="宋体" w:cs="宋体"/>
          <w:bCs/>
          <w:color w:val="000000"/>
          <w:sz w:val="24"/>
          <w:u w:val="single"/>
        </w:rPr>
        <w:t>施工总承包</w:t>
      </w:r>
      <w:r>
        <w:rPr>
          <w:rFonts w:hint="eastAsia" w:ascii="宋体" w:hAnsi="宋体" w:cs="宋体"/>
          <w:bCs/>
          <w:color w:val="000000"/>
          <w:sz w:val="24"/>
          <w:u w:val="single"/>
          <w:lang w:val="en-US" w:eastAsia="zh-CN"/>
        </w:rPr>
        <w:t>叁</w:t>
      </w:r>
      <w:r>
        <w:rPr>
          <w:rFonts w:hint="eastAsia" w:ascii="宋体" w:hAnsi="宋体" w:cs="宋体"/>
          <w:bCs/>
          <w:color w:val="000000"/>
          <w:sz w:val="24"/>
          <w:u w:val="single"/>
        </w:rPr>
        <w:t>级及以上资质</w:t>
      </w:r>
      <w:r>
        <w:rPr>
          <w:rFonts w:hint="eastAsia" w:ascii="宋体" w:hAnsi="宋体" w:cs="宋体"/>
          <w:color w:val="000000"/>
          <w:sz w:val="24"/>
          <w:u w:val="single"/>
        </w:rPr>
        <w:t>及有效的安全生产许可证</w:t>
      </w:r>
      <w:r>
        <w:rPr>
          <w:rFonts w:hint="eastAsia" w:ascii="宋体" w:hAnsi="宋体" w:cs="宋体"/>
          <w:color w:val="000000"/>
          <w:sz w:val="24"/>
          <w:u w:val="none"/>
          <w:lang w:eastAsia="zh-CN"/>
        </w:rPr>
        <w:t>，</w:t>
      </w:r>
      <w:r>
        <w:rPr>
          <w:rFonts w:hint="eastAsia" w:ascii="宋体" w:hAnsi="宋体" w:cs="宋体"/>
          <w:color w:val="000000"/>
          <w:sz w:val="24"/>
        </w:rPr>
        <w:t>提供符合要求的证明材料</w:t>
      </w:r>
      <w:r>
        <w:rPr>
          <w:rFonts w:hint="eastAsia" w:ascii="宋体" w:hAnsi="宋体" w:cs="宋体"/>
          <w:color w:val="000000"/>
          <w:sz w:val="24"/>
          <w:lang w:eastAsia="zh-CN"/>
        </w:rPr>
        <w:t>。</w:t>
      </w:r>
    </w:p>
    <w:p w14:paraId="36ABF71E">
      <w:pPr>
        <w:spacing w:line="360" w:lineRule="auto"/>
        <w:jc w:val="left"/>
        <w:rPr>
          <w:rFonts w:hint="eastAsia" w:cs="仿宋_GB2312" w:asciiTheme="minorEastAsia" w:hAnsiTheme="minorEastAsia"/>
          <w:sz w:val="24"/>
        </w:rPr>
      </w:pPr>
      <w:r>
        <w:rPr>
          <w:rFonts w:hint="eastAsia" w:cs="仿宋_GB2312" w:asciiTheme="minorEastAsia" w:hAnsiTheme="minorEastAsia"/>
          <w:sz w:val="24"/>
        </w:rPr>
        <w:t>本项目</w:t>
      </w:r>
      <w:r>
        <w:rPr>
          <w:rFonts w:hint="eastAsia" w:cs="仿宋_GB2312" w:asciiTheme="minorEastAsia" w:hAnsiTheme="minorEastAsia"/>
          <w:sz w:val="24"/>
          <w:u w:val="single"/>
        </w:rPr>
        <w:t xml:space="preserve">  不接受  </w:t>
      </w:r>
      <w:r>
        <w:rPr>
          <w:rFonts w:hint="eastAsia" w:cs="仿宋_GB2312" w:asciiTheme="minorEastAsia" w:hAnsiTheme="minorEastAsia"/>
          <w:sz w:val="24"/>
        </w:rPr>
        <w:t>联合体投标</w:t>
      </w:r>
    </w:p>
    <w:p w14:paraId="3C0A2CB1">
      <w:pPr>
        <w:spacing w:line="360" w:lineRule="auto"/>
        <w:jc w:val="left"/>
        <w:rPr>
          <w:rFonts w:cs="仿宋_GB2312" w:asciiTheme="minorEastAsia" w:hAnsiTheme="minorEastAsia"/>
          <w:sz w:val="24"/>
        </w:rPr>
      </w:pPr>
      <w:r>
        <w:rPr>
          <w:rFonts w:hint="eastAsia" w:cs="仿宋_GB2312" w:asciiTheme="minorEastAsia" w:hAnsiTheme="minorEastAsia"/>
          <w:sz w:val="24"/>
        </w:rPr>
        <w:t>（四）本项目</w:t>
      </w:r>
      <w:r>
        <w:rPr>
          <w:rFonts w:hint="eastAsia" w:cs="仿宋_GB2312" w:asciiTheme="minorEastAsia" w:hAnsiTheme="minorEastAsia"/>
          <w:sz w:val="24"/>
          <w:u w:val="single"/>
        </w:rPr>
        <w:t xml:space="preserve">  </w:t>
      </w:r>
      <w:r>
        <w:rPr>
          <w:rFonts w:hint="eastAsia" w:cs="仿宋_GB2312" w:asciiTheme="minorEastAsia" w:hAnsiTheme="minorEastAsia"/>
          <w:sz w:val="24"/>
          <w:u w:val="single"/>
          <w:lang w:val="en-US" w:eastAsia="zh-CN"/>
        </w:rPr>
        <w:t>是</w:t>
      </w:r>
      <w:r>
        <w:rPr>
          <w:rFonts w:hint="eastAsia" w:cs="仿宋_GB2312" w:asciiTheme="minorEastAsia" w:hAnsiTheme="minorEastAsia"/>
          <w:sz w:val="24"/>
          <w:u w:val="single"/>
        </w:rPr>
        <w:t xml:space="preserve">  </w:t>
      </w:r>
      <w:r>
        <w:rPr>
          <w:rFonts w:hint="eastAsia" w:cs="仿宋_GB2312" w:asciiTheme="minorEastAsia" w:hAnsiTheme="minorEastAsia"/>
          <w:sz w:val="24"/>
        </w:rPr>
        <w:t>专门面向中小企业采购。</w:t>
      </w:r>
    </w:p>
    <w:p w14:paraId="65F5EEE4">
      <w:pPr>
        <w:spacing w:line="360" w:lineRule="auto"/>
        <w:jc w:val="left"/>
        <w:rPr>
          <w:rFonts w:hint="eastAsia" w:eastAsiaTheme="minorEastAsia"/>
          <w:sz w:val="24"/>
          <w:lang w:eastAsia="zh-CN"/>
        </w:rPr>
      </w:pPr>
      <w:r>
        <w:rPr>
          <w:rFonts w:hint="eastAsia"/>
          <w:sz w:val="24"/>
        </w:rPr>
        <w:t>4.</w:t>
      </w:r>
      <w:r>
        <w:rPr>
          <w:rFonts w:hint="eastAsia" w:cs="宋体" w:asciiTheme="minorEastAsia" w:hAnsiTheme="minorEastAsia" w:eastAsiaTheme="minorEastAsia"/>
          <w:sz w:val="24"/>
        </w:rPr>
        <w:t>采购主要内容：(1)改造学生宿舍公共卫生间 48 间，其中1#学生宿舍楼四层，每层2间，共计8间;2#学生宿舍楼四层，每层2间，共计8间:3#学生宿舍楼四层，每层4间，共计16间:4#学生宿舍楼四层，每层4间，共计16间</w:t>
      </w:r>
      <w:r>
        <w:rPr>
          <w:rFonts w:hint="eastAsia" w:asciiTheme="majorEastAsia" w:hAnsiTheme="majorEastAsia" w:eastAsiaTheme="majorEastAsia" w:cstheme="minorEastAsia"/>
          <w:bCs/>
          <w:color w:val="000000" w:themeColor="text1"/>
          <w:sz w:val="24"/>
        </w:rPr>
        <w:t>。</w:t>
      </w:r>
    </w:p>
    <w:p w14:paraId="0A822829">
      <w:pPr>
        <w:spacing w:line="360" w:lineRule="auto"/>
        <w:jc w:val="left"/>
        <w:rPr>
          <w:sz w:val="24"/>
        </w:rPr>
      </w:pPr>
      <w:r>
        <w:rPr>
          <w:rFonts w:hint="eastAsia"/>
          <w:sz w:val="24"/>
        </w:rPr>
        <w:t>5.评分办法：综合评分法</w:t>
      </w:r>
    </w:p>
    <w:p w14:paraId="4D6FB231">
      <w:pPr>
        <w:spacing w:line="360" w:lineRule="auto"/>
        <w:jc w:val="left"/>
        <w:rPr>
          <w:sz w:val="24"/>
        </w:rPr>
      </w:pPr>
      <w:r>
        <w:rPr>
          <w:rFonts w:hint="eastAsia"/>
          <w:sz w:val="24"/>
        </w:rPr>
        <w:t>6.无效标条款：</w:t>
      </w:r>
    </w:p>
    <w:p w14:paraId="076AF9D3">
      <w:pPr>
        <w:spacing w:before="240" w:beforeLines="100" w:beforeAutospacing="0" w:after="120" w:afterLines="50" w:afterAutospacing="0"/>
        <w:ind w:firstLine="480" w:firstLineChars="200"/>
        <w:rPr>
          <w:rFonts w:ascii="宋体" w:hAnsi="宋体" w:cs="宋体"/>
          <w:color w:val="000000"/>
          <w:sz w:val="24"/>
        </w:rPr>
      </w:pPr>
      <w:r>
        <w:rPr>
          <w:rFonts w:hint="eastAsia" w:ascii="宋体" w:hAnsi="宋体" w:cs="宋体"/>
          <w:color w:val="000000"/>
          <w:sz w:val="24"/>
        </w:rPr>
        <w:t>出现下列情形之一的，供应商递交的</w:t>
      </w:r>
      <w:r>
        <w:rPr>
          <w:rFonts w:hint="eastAsia" w:ascii="宋体" w:hAnsi="宋体" w:cs="宋体"/>
          <w:color w:val="000000"/>
          <w:sz w:val="24"/>
          <w:lang w:eastAsia="zh-CN"/>
        </w:rPr>
        <w:t>响应文件</w:t>
      </w:r>
      <w:r>
        <w:rPr>
          <w:rFonts w:hint="eastAsia" w:ascii="宋体" w:hAnsi="宋体" w:cs="宋体"/>
          <w:color w:val="000000"/>
          <w:sz w:val="24"/>
        </w:rPr>
        <w:t>作无效标处理，该供应商的</w:t>
      </w:r>
      <w:r>
        <w:rPr>
          <w:rFonts w:hint="eastAsia" w:ascii="宋体" w:hAnsi="宋体" w:cs="宋体"/>
          <w:color w:val="000000"/>
          <w:sz w:val="24"/>
          <w:lang w:eastAsia="zh-CN"/>
        </w:rPr>
        <w:t>响应文件</w:t>
      </w:r>
      <w:r>
        <w:rPr>
          <w:rFonts w:hint="eastAsia" w:ascii="宋体" w:hAnsi="宋体" w:cs="宋体"/>
          <w:color w:val="000000"/>
          <w:sz w:val="24"/>
        </w:rPr>
        <w:t>不参与评审，且不计算入投标供应商家数：</w:t>
      </w:r>
    </w:p>
    <w:p w14:paraId="2F44E4FE">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（一）</w:t>
      </w:r>
      <w:r>
        <w:rPr>
          <w:rFonts w:hint="eastAsia" w:ascii="宋体" w:hAnsi="宋体" w:cs="宋体"/>
          <w:color w:val="000000"/>
          <w:sz w:val="24"/>
        </w:rPr>
        <w:t>递交的</w:t>
      </w:r>
      <w:r>
        <w:rPr>
          <w:rFonts w:hint="eastAsia" w:ascii="宋体" w:hAnsi="宋体" w:cs="宋体"/>
          <w:color w:val="000000"/>
          <w:sz w:val="24"/>
          <w:lang w:eastAsia="zh-CN"/>
        </w:rPr>
        <w:t>响应文件</w:t>
      </w:r>
      <w:r>
        <w:rPr>
          <w:rFonts w:hint="eastAsia" w:ascii="宋体" w:hAnsi="宋体" w:cs="宋体"/>
          <w:color w:val="000000"/>
          <w:sz w:val="24"/>
        </w:rPr>
        <w:t>不完整或未按采购文件要求加盖公章及签字的；</w:t>
      </w:r>
    </w:p>
    <w:p w14:paraId="2A9B5067">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（二）</w:t>
      </w:r>
      <w:r>
        <w:rPr>
          <w:rFonts w:hint="eastAsia" w:ascii="宋体" w:hAnsi="宋体" w:cs="宋体"/>
          <w:color w:val="000000"/>
          <w:sz w:val="24"/>
        </w:rPr>
        <w:t>供应商不符合国家及招标文件规定的资格条件的；</w:t>
      </w:r>
    </w:p>
    <w:p w14:paraId="2A293017">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（三）</w:t>
      </w:r>
      <w:r>
        <w:rPr>
          <w:rFonts w:hint="eastAsia" w:ascii="宋体" w:hAnsi="宋体" w:cs="宋体"/>
          <w:color w:val="000000"/>
          <w:sz w:val="24"/>
        </w:rPr>
        <w:t>项目接受联合体投标时，投标联合体未提交联合投标协议的；</w:t>
      </w:r>
    </w:p>
    <w:p w14:paraId="404D293E">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（四）</w:t>
      </w:r>
      <w:r>
        <w:rPr>
          <w:rFonts w:hint="eastAsia" w:ascii="宋体" w:hAnsi="宋体" w:cs="宋体"/>
          <w:color w:val="000000"/>
          <w:sz w:val="24"/>
        </w:rPr>
        <w:t>投标报价被评审委员会认定低于成本价的；</w:t>
      </w:r>
    </w:p>
    <w:p w14:paraId="29D3160A">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（五）</w:t>
      </w:r>
      <w:r>
        <w:rPr>
          <w:rFonts w:hint="eastAsia" w:ascii="宋体" w:hAnsi="宋体" w:cs="宋体"/>
          <w:color w:val="000000"/>
          <w:sz w:val="24"/>
        </w:rPr>
        <w:t>投标报价高于财政采购预算采购人无法支付的；</w:t>
      </w:r>
    </w:p>
    <w:p w14:paraId="0A7F6B95">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（六）</w:t>
      </w:r>
      <w:r>
        <w:rPr>
          <w:rFonts w:hint="eastAsia" w:ascii="宋体" w:hAnsi="宋体" w:cs="宋体"/>
          <w:color w:val="000000"/>
          <w:sz w:val="24"/>
          <w:lang w:eastAsia="zh-CN"/>
        </w:rPr>
        <w:t>响应文件</w:t>
      </w:r>
      <w:r>
        <w:rPr>
          <w:rFonts w:hint="eastAsia" w:ascii="宋体" w:hAnsi="宋体" w:cs="宋体"/>
          <w:color w:val="000000"/>
          <w:sz w:val="24"/>
        </w:rPr>
        <w:t>对采购文件的实质性要求和条件未作出响应的；</w:t>
      </w:r>
    </w:p>
    <w:p w14:paraId="009AB473">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七</w:t>
      </w:r>
      <w:r>
        <w:rPr>
          <w:rFonts w:ascii="宋体" w:hAnsi="宋体" w:cs="宋体"/>
          <w:color w:val="000000"/>
          <w:sz w:val="24"/>
        </w:rPr>
        <w:t>）</w:t>
      </w:r>
      <w:r>
        <w:rPr>
          <w:rFonts w:hint="eastAsia" w:ascii="宋体" w:hAnsi="宋体" w:cs="宋体"/>
          <w:color w:val="000000"/>
          <w:sz w:val="24"/>
        </w:rPr>
        <w:t>供应商有串通投标、弄虚作假、行贿等违法行为的；</w:t>
      </w:r>
    </w:p>
    <w:p w14:paraId="29959B09">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八</w:t>
      </w:r>
      <w:r>
        <w:rPr>
          <w:rFonts w:ascii="宋体" w:hAnsi="宋体" w:cs="宋体"/>
          <w:color w:val="000000"/>
          <w:sz w:val="24"/>
        </w:rPr>
        <w:t>）有下列情形之一的，视为</w:t>
      </w:r>
      <w:r>
        <w:rPr>
          <w:rFonts w:hint="eastAsia" w:ascii="宋体" w:hAnsi="宋体" w:cs="宋体"/>
          <w:color w:val="000000"/>
          <w:sz w:val="24"/>
          <w:lang w:eastAsia="zh-CN"/>
        </w:rPr>
        <w:t>供应商</w:t>
      </w:r>
      <w:r>
        <w:rPr>
          <w:rFonts w:ascii="宋体" w:hAnsi="宋体" w:cs="宋体"/>
          <w:color w:val="000000"/>
          <w:sz w:val="24"/>
        </w:rPr>
        <w:t>串通投标，其投标无效：</w:t>
      </w:r>
    </w:p>
    <w:p w14:paraId="2DB4184A">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w:t>
      </w:r>
      <w:r>
        <w:rPr>
          <w:rFonts w:hint="eastAsia" w:ascii="宋体" w:hAnsi="宋体" w:cs="宋体"/>
          <w:color w:val="000000"/>
          <w:sz w:val="24"/>
          <w:lang w:eastAsia="zh-CN"/>
        </w:rPr>
        <w:t>响应文件</w:t>
      </w:r>
      <w:r>
        <w:rPr>
          <w:rFonts w:ascii="宋体" w:hAnsi="宋体" w:cs="宋体"/>
          <w:color w:val="000000"/>
          <w:sz w:val="24"/>
        </w:rPr>
        <w:t>由同一单位或者个人编制；</w:t>
      </w:r>
    </w:p>
    <w:p w14:paraId="62E3FD32">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委托同一单位或者个人办理投标事宜；</w:t>
      </w:r>
    </w:p>
    <w:p w14:paraId="79108AB9">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w:t>
      </w:r>
      <w:r>
        <w:rPr>
          <w:rFonts w:hint="eastAsia" w:ascii="宋体" w:hAnsi="宋体" w:cs="宋体"/>
          <w:color w:val="000000"/>
          <w:sz w:val="24"/>
          <w:lang w:eastAsia="zh-CN"/>
        </w:rPr>
        <w:t>响应文件</w:t>
      </w:r>
      <w:r>
        <w:rPr>
          <w:rFonts w:ascii="宋体" w:hAnsi="宋体" w:cs="宋体"/>
          <w:color w:val="000000"/>
          <w:sz w:val="24"/>
        </w:rPr>
        <w:t>载明的项目管理成员或者联系人员为同一人；</w:t>
      </w:r>
    </w:p>
    <w:p w14:paraId="09B2C673">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w:t>
      </w:r>
      <w:r>
        <w:rPr>
          <w:rFonts w:hint="eastAsia" w:ascii="宋体" w:hAnsi="宋体" w:cs="宋体"/>
          <w:color w:val="000000"/>
          <w:sz w:val="24"/>
          <w:lang w:eastAsia="zh-CN"/>
        </w:rPr>
        <w:t>响应文件</w:t>
      </w:r>
      <w:r>
        <w:rPr>
          <w:rFonts w:ascii="宋体" w:hAnsi="宋体" w:cs="宋体"/>
          <w:color w:val="000000"/>
          <w:sz w:val="24"/>
        </w:rPr>
        <w:t>异常一致或者投标报价呈规律性差异；</w:t>
      </w:r>
    </w:p>
    <w:p w14:paraId="126007F7">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5.</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w:t>
      </w:r>
      <w:r>
        <w:rPr>
          <w:rFonts w:hint="eastAsia" w:ascii="宋体" w:hAnsi="宋体" w:cs="宋体"/>
          <w:color w:val="000000"/>
          <w:sz w:val="24"/>
          <w:lang w:eastAsia="zh-CN"/>
        </w:rPr>
        <w:t>响应文件</w:t>
      </w:r>
      <w:r>
        <w:rPr>
          <w:rFonts w:ascii="宋体" w:hAnsi="宋体" w:cs="宋体"/>
          <w:color w:val="000000"/>
          <w:sz w:val="24"/>
        </w:rPr>
        <w:t>相互混装；</w:t>
      </w:r>
    </w:p>
    <w:p w14:paraId="4EEB507F">
      <w:pPr>
        <w:spacing w:before="0" w:beforeAutospacing="0" w:after="0" w:afterAutospacing="0"/>
        <w:ind w:firstLine="484" w:firstLineChars="202"/>
        <w:rPr>
          <w:rFonts w:ascii="宋体" w:hAnsi="宋体" w:cs="宋体"/>
          <w:color w:val="000000"/>
          <w:sz w:val="24"/>
        </w:rPr>
      </w:pPr>
      <w:r>
        <w:rPr>
          <w:rFonts w:hint="eastAsia" w:ascii="宋体" w:hAnsi="宋体" w:cs="宋体"/>
          <w:color w:val="000000"/>
          <w:sz w:val="24"/>
        </w:rPr>
        <w:t>6.</w:t>
      </w:r>
      <w:r>
        <w:rPr>
          <w:rFonts w:ascii="宋体" w:hAnsi="宋体" w:cs="宋体"/>
          <w:color w:val="000000"/>
          <w:sz w:val="24"/>
        </w:rPr>
        <w:t>不同</w:t>
      </w:r>
      <w:r>
        <w:rPr>
          <w:rFonts w:hint="eastAsia" w:ascii="宋体" w:hAnsi="宋体" w:cs="宋体"/>
          <w:color w:val="000000"/>
          <w:sz w:val="24"/>
          <w:lang w:eastAsia="zh-CN"/>
        </w:rPr>
        <w:t>供应商</w:t>
      </w:r>
      <w:r>
        <w:rPr>
          <w:rFonts w:ascii="宋体" w:hAnsi="宋体" w:cs="宋体"/>
          <w:color w:val="000000"/>
          <w:sz w:val="24"/>
        </w:rPr>
        <w:t>的投标保证金从同一单位或者个人的账户转出。</w:t>
      </w:r>
    </w:p>
    <w:p w14:paraId="168DBCEB">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九</w:t>
      </w:r>
      <w:r>
        <w:rPr>
          <w:rFonts w:ascii="宋体" w:hAnsi="宋体" w:cs="宋体"/>
          <w:color w:val="000000"/>
          <w:sz w:val="24"/>
        </w:rPr>
        <w:t>）</w:t>
      </w:r>
      <w:r>
        <w:rPr>
          <w:rFonts w:hint="eastAsia" w:ascii="宋体" w:hAnsi="宋体" w:cs="宋体"/>
          <w:color w:val="000000"/>
          <w:sz w:val="24"/>
          <w:lang w:eastAsia="zh-CN"/>
        </w:rPr>
        <w:t>响应文件</w:t>
      </w:r>
      <w:r>
        <w:rPr>
          <w:rFonts w:hint="eastAsia" w:ascii="宋体" w:hAnsi="宋体" w:cs="宋体"/>
          <w:color w:val="000000"/>
          <w:sz w:val="24"/>
        </w:rPr>
        <w:t>未胶装成册的（采用打孔装订、活页夹等方式装订的</w:t>
      </w:r>
      <w:r>
        <w:rPr>
          <w:rFonts w:hint="eastAsia" w:ascii="宋体" w:hAnsi="宋体" w:cs="宋体"/>
          <w:color w:val="000000"/>
          <w:sz w:val="24"/>
          <w:lang w:eastAsia="zh-CN"/>
        </w:rPr>
        <w:t>响应文件</w:t>
      </w:r>
      <w:r>
        <w:rPr>
          <w:rFonts w:hint="eastAsia" w:ascii="宋体" w:hAnsi="宋体" w:cs="宋体"/>
          <w:color w:val="000000"/>
          <w:sz w:val="24"/>
        </w:rPr>
        <w:t>作为无效投标处理）；</w:t>
      </w:r>
    </w:p>
    <w:p w14:paraId="077E3A37">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十</w:t>
      </w:r>
      <w:r>
        <w:rPr>
          <w:rFonts w:ascii="宋体" w:hAnsi="宋体" w:cs="宋体"/>
          <w:color w:val="000000"/>
          <w:sz w:val="24"/>
        </w:rPr>
        <w:t>）</w:t>
      </w:r>
      <w:r>
        <w:rPr>
          <w:rFonts w:hint="eastAsia" w:ascii="宋体" w:hAnsi="宋体" w:cs="宋体"/>
          <w:color w:val="000000"/>
          <w:sz w:val="24"/>
        </w:rPr>
        <w:t>未交纳投标保证金的；</w:t>
      </w:r>
    </w:p>
    <w:p w14:paraId="6553F945">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十一</w:t>
      </w:r>
      <w:r>
        <w:rPr>
          <w:rFonts w:ascii="宋体" w:hAnsi="宋体" w:cs="宋体"/>
          <w:color w:val="000000"/>
          <w:sz w:val="24"/>
        </w:rPr>
        <w:t>）</w:t>
      </w:r>
      <w:r>
        <w:rPr>
          <w:rFonts w:hint="eastAsia" w:ascii="宋体" w:hAnsi="宋体" w:cs="宋体"/>
          <w:color w:val="000000"/>
          <w:sz w:val="24"/>
        </w:rPr>
        <w:t>投标有效期不满足采购文件要求的；</w:t>
      </w:r>
    </w:p>
    <w:p w14:paraId="420E5EF2">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十二</w:t>
      </w:r>
      <w:r>
        <w:rPr>
          <w:rFonts w:ascii="宋体" w:hAnsi="宋体" w:cs="宋体"/>
          <w:color w:val="000000"/>
          <w:sz w:val="24"/>
        </w:rPr>
        <w:t>）</w:t>
      </w:r>
      <w:r>
        <w:rPr>
          <w:rFonts w:hint="eastAsia" w:ascii="宋体" w:hAnsi="宋体" w:cs="宋体"/>
          <w:color w:val="000000"/>
          <w:sz w:val="24"/>
        </w:rPr>
        <w:t xml:space="preserve">单位负责人为同一人或者存在直接控股、管理关系的不同供应商，不得参加同一合同项下的政府采购活动。 </w:t>
      </w:r>
    </w:p>
    <w:p w14:paraId="51F952C5">
      <w:pPr>
        <w:spacing w:before="0" w:beforeAutospacing="0" w:after="0" w:afterAutospacing="0"/>
        <w:ind w:firstLine="484" w:firstLineChars="202"/>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十三</w:t>
      </w:r>
      <w:r>
        <w:rPr>
          <w:rFonts w:ascii="宋体" w:hAnsi="宋体" w:cs="宋体"/>
          <w:color w:val="000000"/>
          <w:sz w:val="24"/>
        </w:rPr>
        <w:t>）</w:t>
      </w:r>
      <w:r>
        <w:rPr>
          <w:rFonts w:hint="eastAsia" w:ascii="宋体" w:hAnsi="宋体" w:cs="宋体"/>
          <w:color w:val="000000"/>
          <w:sz w:val="24"/>
        </w:rPr>
        <w:t>为本项目提供整体设计、规范编制或者项目管理、监理、检测等服务的供应商参加本采购项目的。</w:t>
      </w:r>
    </w:p>
    <w:p w14:paraId="57BD62A9">
      <w:pPr>
        <w:spacing w:line="360" w:lineRule="auto"/>
        <w:ind w:firstLine="480" w:firstLineChars="200"/>
        <w:jc w:val="left"/>
        <w:rPr>
          <w:sz w:val="24"/>
        </w:rPr>
      </w:pPr>
      <w:r>
        <w:rPr>
          <w:rFonts w:ascii="宋体" w:hAnsi="宋体" w:cs="宋体"/>
          <w:color w:val="000000"/>
          <w:sz w:val="24"/>
        </w:rPr>
        <w:t>（</w:t>
      </w:r>
      <w:r>
        <w:rPr>
          <w:rFonts w:hint="eastAsia" w:ascii="宋体" w:hAnsi="宋体" w:cs="宋体"/>
          <w:color w:val="000000"/>
          <w:sz w:val="24"/>
        </w:rPr>
        <w:t>十四</w:t>
      </w:r>
      <w:r>
        <w:rPr>
          <w:rFonts w:ascii="宋体" w:hAnsi="宋体" w:cs="宋体"/>
          <w:color w:val="000000"/>
          <w:sz w:val="24"/>
        </w:rPr>
        <w:t>）</w:t>
      </w:r>
      <w:r>
        <w:rPr>
          <w:rFonts w:hint="eastAsia" w:ascii="宋体" w:hAnsi="宋体" w:cs="宋体"/>
          <w:color w:val="000000"/>
          <w:sz w:val="24"/>
        </w:rPr>
        <w:t xml:space="preserve"> 违反政府采购法律法规,足以导致响应文件无效的情形。</w:t>
      </w:r>
    </w:p>
    <w:p w14:paraId="3FA5B779">
      <w:pPr>
        <w:spacing w:line="360" w:lineRule="auto"/>
        <w:jc w:val="left"/>
        <w:rPr>
          <w:b/>
          <w:sz w:val="24"/>
        </w:rPr>
      </w:pPr>
      <w:r>
        <w:rPr>
          <w:rFonts w:hint="eastAsia"/>
          <w:b/>
          <w:sz w:val="24"/>
        </w:rPr>
        <w:t>特别说明：本公示内容仅为招标人对本项目的需求公示，具体内容以最终招标文件发售稿为准！</w:t>
      </w:r>
    </w:p>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667D0"/>
    <w:multiLevelType w:val="singleLevel"/>
    <w:tmpl w:val="C9A667D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5N2M5MTllYmJlYmVkNjc0MzQ1OWFkODQ0NTZjNDAifQ=="/>
  </w:docVars>
  <w:rsids>
    <w:rsidRoot w:val="00186B49"/>
    <w:rsid w:val="000B20E2"/>
    <w:rsid w:val="000B66CA"/>
    <w:rsid w:val="000F3C14"/>
    <w:rsid w:val="00123EB6"/>
    <w:rsid w:val="001315B9"/>
    <w:rsid w:val="0015733C"/>
    <w:rsid w:val="00186B49"/>
    <w:rsid w:val="001A47E7"/>
    <w:rsid w:val="001B1732"/>
    <w:rsid w:val="001D3CA2"/>
    <w:rsid w:val="00246621"/>
    <w:rsid w:val="00262484"/>
    <w:rsid w:val="002E6862"/>
    <w:rsid w:val="00307264"/>
    <w:rsid w:val="00315F51"/>
    <w:rsid w:val="003269F4"/>
    <w:rsid w:val="00330038"/>
    <w:rsid w:val="003922A3"/>
    <w:rsid w:val="003A17E2"/>
    <w:rsid w:val="003A2F53"/>
    <w:rsid w:val="00410DBF"/>
    <w:rsid w:val="004373D7"/>
    <w:rsid w:val="00447834"/>
    <w:rsid w:val="00486FE9"/>
    <w:rsid w:val="004940D3"/>
    <w:rsid w:val="00556591"/>
    <w:rsid w:val="00597B35"/>
    <w:rsid w:val="005C6018"/>
    <w:rsid w:val="005D4DA8"/>
    <w:rsid w:val="00663729"/>
    <w:rsid w:val="006B758B"/>
    <w:rsid w:val="006C2FD9"/>
    <w:rsid w:val="00735747"/>
    <w:rsid w:val="007535E1"/>
    <w:rsid w:val="00790C34"/>
    <w:rsid w:val="007E1155"/>
    <w:rsid w:val="007E62B4"/>
    <w:rsid w:val="007F114D"/>
    <w:rsid w:val="008012C0"/>
    <w:rsid w:val="00870D44"/>
    <w:rsid w:val="0087428D"/>
    <w:rsid w:val="008C5C25"/>
    <w:rsid w:val="008D5F1F"/>
    <w:rsid w:val="00902960"/>
    <w:rsid w:val="009852BA"/>
    <w:rsid w:val="00987469"/>
    <w:rsid w:val="00990B25"/>
    <w:rsid w:val="009A3200"/>
    <w:rsid w:val="00A12653"/>
    <w:rsid w:val="00A66E0B"/>
    <w:rsid w:val="00A90967"/>
    <w:rsid w:val="00A94BA2"/>
    <w:rsid w:val="00AB6B29"/>
    <w:rsid w:val="00B10E0B"/>
    <w:rsid w:val="00BE5012"/>
    <w:rsid w:val="00BE775E"/>
    <w:rsid w:val="00C322D9"/>
    <w:rsid w:val="00C73214"/>
    <w:rsid w:val="00C90181"/>
    <w:rsid w:val="00CB13DE"/>
    <w:rsid w:val="00CB271E"/>
    <w:rsid w:val="00D034DA"/>
    <w:rsid w:val="00D16856"/>
    <w:rsid w:val="00D545CC"/>
    <w:rsid w:val="00E145B3"/>
    <w:rsid w:val="00E45274"/>
    <w:rsid w:val="00E81390"/>
    <w:rsid w:val="00E83292"/>
    <w:rsid w:val="00ED3F0D"/>
    <w:rsid w:val="00F22A56"/>
    <w:rsid w:val="00F366C0"/>
    <w:rsid w:val="00F56972"/>
    <w:rsid w:val="00F622B4"/>
    <w:rsid w:val="00FB2295"/>
    <w:rsid w:val="00FF5677"/>
    <w:rsid w:val="01A72197"/>
    <w:rsid w:val="095C766F"/>
    <w:rsid w:val="0CE95B9C"/>
    <w:rsid w:val="0DCE2725"/>
    <w:rsid w:val="11C42733"/>
    <w:rsid w:val="11D87F8D"/>
    <w:rsid w:val="12040D82"/>
    <w:rsid w:val="149503B7"/>
    <w:rsid w:val="14DA401C"/>
    <w:rsid w:val="15380999"/>
    <w:rsid w:val="16F969DB"/>
    <w:rsid w:val="1A7016AA"/>
    <w:rsid w:val="1B4D5548"/>
    <w:rsid w:val="1C5A43C0"/>
    <w:rsid w:val="1E601A36"/>
    <w:rsid w:val="1E6551E0"/>
    <w:rsid w:val="1EC30939"/>
    <w:rsid w:val="1F6A2B6C"/>
    <w:rsid w:val="1F8B2AE2"/>
    <w:rsid w:val="1FEB2A66"/>
    <w:rsid w:val="244C7C1F"/>
    <w:rsid w:val="26E04842"/>
    <w:rsid w:val="283F090E"/>
    <w:rsid w:val="2A5D50DF"/>
    <w:rsid w:val="2B82123D"/>
    <w:rsid w:val="2C1D4AC2"/>
    <w:rsid w:val="3185755E"/>
    <w:rsid w:val="361A2A4F"/>
    <w:rsid w:val="3ACA4067"/>
    <w:rsid w:val="3C1934F8"/>
    <w:rsid w:val="45B002FD"/>
    <w:rsid w:val="45EE1552"/>
    <w:rsid w:val="46342CDD"/>
    <w:rsid w:val="46BC5F8B"/>
    <w:rsid w:val="47226FD9"/>
    <w:rsid w:val="475C698F"/>
    <w:rsid w:val="4E6616F0"/>
    <w:rsid w:val="4EDB288F"/>
    <w:rsid w:val="4FD846E5"/>
    <w:rsid w:val="4FE37C4D"/>
    <w:rsid w:val="520A44A5"/>
    <w:rsid w:val="54C9181A"/>
    <w:rsid w:val="559C05CC"/>
    <w:rsid w:val="55D82412"/>
    <w:rsid w:val="565F7902"/>
    <w:rsid w:val="57C57C38"/>
    <w:rsid w:val="5AA601F5"/>
    <w:rsid w:val="5F641055"/>
    <w:rsid w:val="61A3723C"/>
    <w:rsid w:val="62AE00AD"/>
    <w:rsid w:val="63104020"/>
    <w:rsid w:val="65BF0659"/>
    <w:rsid w:val="671C0C3E"/>
    <w:rsid w:val="69C73CE4"/>
    <w:rsid w:val="69F56AE3"/>
    <w:rsid w:val="6EE851E5"/>
    <w:rsid w:val="6FAF14A2"/>
    <w:rsid w:val="6FD047A3"/>
    <w:rsid w:val="6FDD600F"/>
    <w:rsid w:val="74161AF0"/>
    <w:rsid w:val="744228E5"/>
    <w:rsid w:val="745E5245"/>
    <w:rsid w:val="75575F1C"/>
    <w:rsid w:val="757C5983"/>
    <w:rsid w:val="766D176F"/>
    <w:rsid w:val="77756B2D"/>
    <w:rsid w:val="77F9150C"/>
    <w:rsid w:val="78A551F0"/>
    <w:rsid w:val="790F395E"/>
    <w:rsid w:val="7C8E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ind w:firstLine="0" w:firstLineChars="0"/>
      <w:contextualSpacing/>
      <w:jc w:val="center"/>
      <w:outlineLvl w:val="0"/>
    </w:pPr>
    <w:rPr>
      <w:rFonts w:eastAsia="方正小标宋简体"/>
      <w:bCs/>
      <w:kern w:val="44"/>
      <w:sz w:val="32"/>
      <w:szCs w:val="44"/>
    </w:rPr>
  </w:style>
  <w:style w:type="character" w:default="1" w:styleId="11">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kern w:val="0"/>
      <w:sz w:val="20"/>
    </w:rPr>
  </w:style>
  <w:style w:type="paragraph" w:styleId="4">
    <w:name w:val="Body Text"/>
    <w:basedOn w:val="1"/>
    <w:next w:val="3"/>
    <w:autoRedefine/>
    <w:unhideWhenUsed/>
    <w:qFormat/>
    <w:uiPriority w:val="99"/>
    <w:pPr>
      <w:spacing w:after="120"/>
    </w:pPr>
    <w:rPr>
      <w:rFonts w:ascii="Calibri" w:hAnsi="Calibri"/>
      <w:szCs w:val="22"/>
    </w:rPr>
  </w:style>
  <w:style w:type="paragraph" w:styleId="5">
    <w:name w:val="Body Text Indent"/>
    <w:basedOn w:val="1"/>
    <w:next w:val="4"/>
    <w:autoRedefine/>
    <w:qFormat/>
    <w:uiPriority w:val="0"/>
    <w:pPr>
      <w:ind w:left="1" w:firstLine="717" w:firstLineChars="224"/>
    </w:pPr>
    <w:rPr>
      <w:rFonts w:ascii="仿宋_GB2312"/>
    </w:rPr>
  </w:style>
  <w:style w:type="paragraph" w:styleId="6">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unhideWhenUsed/>
    <w:qFormat/>
    <w:uiPriority w:val="99"/>
    <w:pPr>
      <w:spacing w:afterAutospacing="0" w:line="480" w:lineRule="auto"/>
    </w:pPr>
  </w:style>
  <w:style w:type="paragraph" w:styleId="9">
    <w:name w:val="Body Text First Indent 2"/>
    <w:basedOn w:val="5"/>
    <w:next w:val="4"/>
    <w:autoRedefine/>
    <w:qFormat/>
    <w:uiPriority w:val="0"/>
    <w:pPr>
      <w:spacing w:after="120"/>
      <w:ind w:left="420" w:leftChars="200" w:firstLine="420" w:firstLineChars="200"/>
    </w:pPr>
    <w:rPr>
      <w:rFonts w:ascii="Times New Roman" w:eastAsia="宋体"/>
      <w:sz w:val="21"/>
    </w:rPr>
  </w:style>
  <w:style w:type="character" w:styleId="12">
    <w:name w:val="Strong"/>
    <w:basedOn w:val="11"/>
    <w:autoRedefine/>
    <w:qFormat/>
    <w:uiPriority w:val="22"/>
    <w:rPr>
      <w:rFonts w:eastAsia="黑体"/>
      <w:bCs/>
    </w:rPr>
  </w:style>
  <w:style w:type="paragraph" w:customStyle="1" w:styleId="13">
    <w:name w:val="PwC Normal"/>
    <w:basedOn w:val="1"/>
    <w:autoRedefine/>
    <w:qFormat/>
    <w:uiPriority w:val="0"/>
    <w:pPr>
      <w:spacing w:before="180" w:after="180" w:line="240" w:lineRule="atLeast"/>
    </w:pPr>
    <w:rPr>
      <w:rFonts w:ascii="Calibri" w:hAnsi="Calibri"/>
    </w:rPr>
  </w:style>
  <w:style w:type="character" w:customStyle="1" w:styleId="14">
    <w:name w:val="页眉 Char"/>
    <w:basedOn w:val="11"/>
    <w:link w:val="7"/>
    <w:autoRedefine/>
    <w:semiHidden/>
    <w:qFormat/>
    <w:uiPriority w:val="99"/>
    <w:rPr>
      <w:sz w:val="18"/>
      <w:szCs w:val="18"/>
    </w:rPr>
  </w:style>
  <w:style w:type="character" w:customStyle="1" w:styleId="15">
    <w:name w:val="页脚 Char"/>
    <w:basedOn w:val="11"/>
    <w:link w:val="6"/>
    <w:autoRedefine/>
    <w:semiHidden/>
    <w:qFormat/>
    <w:uiPriority w:val="99"/>
    <w:rPr>
      <w:sz w:val="18"/>
      <w:szCs w:val="18"/>
    </w:rPr>
  </w:style>
  <w:style w:type="paragraph" w:customStyle="1" w:styleId="1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
    <w:name w:val="List Paragraph"/>
    <w:basedOn w:val="1"/>
    <w:autoRedefine/>
    <w:qFormat/>
    <w:uiPriority w:val="0"/>
    <w:pPr>
      <w:ind w:firstLine="420" w:firstLineChars="200"/>
    </w:pPr>
  </w:style>
  <w:style w:type="paragraph" w:customStyle="1" w:styleId="18">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1655</Words>
  <Characters>1731</Characters>
  <Lines>12</Lines>
  <Paragraphs>3</Paragraphs>
  <TotalTime>0</TotalTime>
  <ScaleCrop>false</ScaleCrop>
  <LinksUpToDate>false</LinksUpToDate>
  <CharactersWithSpaces>1746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2022-05-30T07:46:00Z</dcterms:created>
  <dc:creator>PC</dc:creator>
  <cp:lastModifiedBy>塔塔</cp:lastModifiedBy>
  <cp:lastPrinted>2018-03-28T07:38:00Z</cp:lastPrinted>
  <dcterms:modified xsi:type="dcterms:W3CDTF">2025-06-12T03:03:14Z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FFA93ED5C1754F3DA7AB5574290325A7_12</vt:lpwstr>
  </property>
  <property fmtid="{D5CDD505-2E9C-101B-9397-08002B2CF9AE}" pid="4" name="KSOTemplateDocerSaveRecord">
    <vt:lpwstr>eyJoZGlkIjoiMDI5N2M5MTllYmJlYmVkNjc0MzQ1OWFkODQ0NTZjNDAiLCJ1c2VySWQiOiI0Mjc5NTEwNDkifQ==</vt:lpwstr>
  </property>
</Properties>
</file>